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关于</w:t>
      </w:r>
      <w:r>
        <w:rPr>
          <w:b/>
          <w:bCs/>
          <w:sz w:val="30"/>
          <w:szCs w:val="30"/>
        </w:rPr>
        <w:t>20</w:t>
      </w:r>
      <w:r>
        <w:rPr>
          <w:rFonts w:hint="eastAsia"/>
          <w:b/>
          <w:bCs/>
          <w:sz w:val="30"/>
          <w:szCs w:val="30"/>
          <w:lang w:val="en-US" w:eastAsia="zh-CN"/>
        </w:rPr>
        <w:t>20</w:t>
      </w:r>
      <w:r>
        <w:rPr>
          <w:rFonts w:hint="eastAsia"/>
          <w:b/>
          <w:bCs/>
          <w:sz w:val="30"/>
          <w:szCs w:val="30"/>
        </w:rPr>
        <w:t>年</w:t>
      </w:r>
      <w:r>
        <w:rPr>
          <w:rFonts w:hint="eastAsia"/>
          <w:b/>
          <w:bCs/>
          <w:sz w:val="30"/>
          <w:szCs w:val="30"/>
          <w:lang w:val="en-US" w:eastAsia="zh-CN"/>
        </w:rPr>
        <w:t>度</w:t>
      </w:r>
      <w:r>
        <w:rPr>
          <w:rFonts w:hint="eastAsia"/>
          <w:b/>
          <w:bCs/>
          <w:sz w:val="30"/>
          <w:szCs w:val="30"/>
          <w:lang w:eastAsia="zh-CN"/>
        </w:rPr>
        <w:t>五原县一般公共预算税收返还和转移支付情况</w:t>
      </w:r>
      <w:r>
        <w:rPr>
          <w:rFonts w:hint="eastAsia"/>
          <w:b/>
          <w:bCs/>
          <w:sz w:val="30"/>
          <w:szCs w:val="30"/>
        </w:rPr>
        <w:t>的说明</w:t>
      </w:r>
    </w:p>
    <w:p>
      <w:pPr>
        <w:jc w:val="center"/>
        <w:rPr>
          <w:rFonts w:hint="eastAsia"/>
          <w:b/>
          <w:bCs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00" w:firstLineChars="200"/>
        <w:textAlignment w:val="baseline"/>
        <w:rPr>
          <w:rFonts w:hint="eastAsia"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sz w:val="30"/>
          <w:szCs w:val="30"/>
        </w:rPr>
        <w:t>年，一般公共预算收入3.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05</w:t>
      </w:r>
      <w:r>
        <w:rPr>
          <w:rFonts w:hint="eastAsia" w:ascii="宋体" w:hAnsi="宋体" w:eastAsia="宋体" w:cs="宋体"/>
          <w:sz w:val="30"/>
          <w:szCs w:val="30"/>
        </w:rPr>
        <w:t>亿元，加上级补助收入2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8.20</w:t>
      </w:r>
      <w:r>
        <w:rPr>
          <w:rFonts w:hint="eastAsia" w:ascii="宋体" w:hAnsi="宋体" w:eastAsia="宋体" w:cs="宋体"/>
          <w:sz w:val="30"/>
          <w:szCs w:val="30"/>
        </w:rPr>
        <w:t>亿元(其中：税收返还1.0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亿元，一般性转移支付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12.83</w:t>
      </w:r>
      <w:r>
        <w:rPr>
          <w:rFonts w:hint="eastAsia" w:ascii="宋体" w:hAnsi="宋体" w:eastAsia="宋体" w:cs="宋体"/>
          <w:sz w:val="30"/>
          <w:szCs w:val="30"/>
        </w:rPr>
        <w:t>亿元，专项转移支付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14.36</w:t>
      </w:r>
      <w:r>
        <w:rPr>
          <w:rFonts w:hint="eastAsia" w:ascii="宋体" w:hAnsi="宋体" w:eastAsia="宋体" w:cs="宋体"/>
          <w:sz w:val="30"/>
          <w:szCs w:val="30"/>
        </w:rPr>
        <w:t>亿元),201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sz w:val="30"/>
          <w:szCs w:val="30"/>
        </w:rPr>
        <w:t>年结转1.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22</w:t>
      </w:r>
      <w:r>
        <w:rPr>
          <w:rFonts w:hint="eastAsia" w:ascii="宋体" w:hAnsi="宋体" w:eastAsia="宋体" w:cs="宋体"/>
          <w:sz w:val="30"/>
          <w:szCs w:val="30"/>
        </w:rPr>
        <w:t>亿元，地方一般债券转贷收入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1.47</w:t>
      </w:r>
      <w:r>
        <w:rPr>
          <w:rFonts w:hint="eastAsia" w:ascii="宋体" w:hAnsi="宋体" w:eastAsia="宋体" w:cs="宋体"/>
          <w:sz w:val="30"/>
          <w:szCs w:val="30"/>
        </w:rPr>
        <w:t>亿元，政府性基金调入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6621</w:t>
      </w:r>
      <w:r>
        <w:rPr>
          <w:rFonts w:hint="eastAsia" w:ascii="宋体" w:hAnsi="宋体" w:eastAsia="宋体" w:cs="宋体"/>
          <w:sz w:val="30"/>
          <w:szCs w:val="30"/>
        </w:rPr>
        <w:t>万元，动用预算稳定调节基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金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7942万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元，收入总计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35.39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亿元。</w:t>
      </w:r>
      <w:r>
        <w:rPr>
          <w:rFonts w:hint="eastAsia" w:ascii="宋体" w:hAnsi="宋体" w:eastAsia="宋体" w:cs="宋体"/>
          <w:sz w:val="30"/>
          <w:szCs w:val="30"/>
        </w:rPr>
        <w:t>全县一般公共预算支出3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4.20</w:t>
      </w:r>
      <w:r>
        <w:rPr>
          <w:rFonts w:hint="eastAsia" w:ascii="宋体" w:hAnsi="宋体" w:eastAsia="宋体" w:cs="宋体"/>
          <w:sz w:val="30"/>
          <w:szCs w:val="30"/>
        </w:rPr>
        <w:t>亿元，较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上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同期</w:t>
      </w:r>
      <w:r>
        <w:rPr>
          <w:rFonts w:hint="eastAsia" w:ascii="宋体" w:hAnsi="宋体" w:eastAsia="宋体" w:cs="宋体"/>
          <w:sz w:val="30"/>
          <w:szCs w:val="30"/>
        </w:rPr>
        <w:t>增加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1.38亿</w:t>
      </w:r>
      <w:r>
        <w:rPr>
          <w:rFonts w:hint="eastAsia" w:ascii="宋体" w:hAnsi="宋体" w:eastAsia="宋体" w:cs="宋体"/>
          <w:sz w:val="30"/>
          <w:szCs w:val="30"/>
        </w:rPr>
        <w:t>元，增长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4.21</w:t>
      </w:r>
      <w:r>
        <w:rPr>
          <w:rFonts w:hint="eastAsia" w:ascii="宋体" w:hAnsi="宋体" w:eastAsia="宋体" w:cs="宋体"/>
          <w:sz w:val="30"/>
          <w:szCs w:val="30"/>
        </w:rPr>
        <w:t>%。上解上级支出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240</w:t>
      </w:r>
      <w:r>
        <w:rPr>
          <w:rFonts w:hint="eastAsia" w:ascii="宋体" w:hAnsi="宋体" w:eastAsia="宋体" w:cs="宋体"/>
          <w:sz w:val="30"/>
          <w:szCs w:val="30"/>
        </w:rPr>
        <w:t>万元，安排预算稳定调节基金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7159</w:t>
      </w:r>
      <w:r>
        <w:rPr>
          <w:rFonts w:hint="eastAsia" w:ascii="宋体" w:hAnsi="宋体" w:eastAsia="宋体" w:cs="宋体"/>
          <w:sz w:val="30"/>
          <w:szCs w:val="30"/>
        </w:rPr>
        <w:t>万元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</w:rPr>
        <w:t>收支相抵，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年终滚存结余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4520万</w:t>
      </w:r>
      <w:r>
        <w:rPr>
          <w:rFonts w:hint="eastAsia" w:ascii="宋体" w:hAnsi="宋体" w:eastAsia="宋体" w:cs="宋体"/>
          <w:color w:val="auto"/>
          <w:sz w:val="30"/>
          <w:szCs w:val="30"/>
        </w:rPr>
        <w:t>元。</w:t>
      </w:r>
    </w:p>
    <w:p>
      <w:pPr>
        <w:jc w:val="center"/>
        <w:rPr>
          <w:rFonts w:hint="eastAsia"/>
          <w:b/>
          <w:bCs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573C3"/>
    <w:rsid w:val="1FF5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uiPriority w:val="99"/>
    <w:pPr>
      <w:spacing w:after="120"/>
    </w:pPr>
  </w:style>
  <w:style w:type="paragraph" w:styleId="4">
    <w:name w:val="Body Text First Indent 2"/>
    <w:basedOn w:val="5"/>
    <w:next w:val="1"/>
    <w:unhideWhenUsed/>
    <w:uiPriority w:val="99"/>
    <w:pPr>
      <w:widowControl/>
      <w:ind w:firstLine="420" w:firstLineChars="200"/>
      <w:jc w:val="left"/>
    </w:pPr>
    <w:rPr>
      <w:kern w:val="0"/>
      <w:sz w:val="24"/>
      <w:lang w:eastAsia="en-US"/>
    </w:rPr>
  </w:style>
  <w:style w:type="paragraph" w:styleId="5">
    <w:name w:val="Body Text Indent"/>
    <w:basedOn w:val="1"/>
    <w:next w:val="1"/>
    <w:unhideWhenUsed/>
    <w:uiPriority w:val="99"/>
    <w:pPr>
      <w:spacing w:line="576" w:lineRule="exact"/>
      <w:ind w:firstLine="660"/>
    </w:pPr>
    <w:rPr>
      <w:rFonts w:ascii="Times New Roman" w:hAnsi="Times New Roman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2021-10-09T11:00:00Z</dcterms:created>
  <dc:creator>acer</dc:creator>
  <cp:lastModifiedBy>acer</cp:lastModifiedBy>
  <dcterms:modified xsi:type="dcterms:W3CDTF">2021-10-09T11:01:06Z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7646F6B395874AFA8734E5BE2BFB42BD</vt:lpwstr>
  </property>
</Properties>
</file>