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3624A">
      <w:pPr>
        <w:pStyle w:val="2"/>
        <w:ind w:left="0" w:leftChars="0" w:firstLine="0" w:firstLineChars="0"/>
        <w:rPr>
          <w:rFonts w:hint="eastAsia"/>
          <w:lang w:val="en-US" w:eastAsia="zh-CN"/>
        </w:rPr>
      </w:pPr>
      <w:r>
        <w:rPr>
          <w:rFonts w:hint="eastAsia" w:ascii="Times New Roman" w:hAnsi="Times New Roman" w:eastAsia="仿宋_GB2312" w:cs="仿宋_GB2312"/>
          <w:kern w:val="0"/>
          <w:sz w:val="32"/>
          <w:szCs w:val="32"/>
          <w:lang w:val="en-US" w:eastAsia="zh-CN" w:bidi="ar"/>
        </w:rPr>
        <w:t>附件1</w:t>
      </w:r>
    </w:p>
    <w:p w14:paraId="6D701A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sz w:val="44"/>
          <w:szCs w:val="44"/>
          <w:lang w:eastAsia="zh-CN"/>
        </w:rPr>
      </w:pPr>
    </w:p>
    <w:p w14:paraId="4AEA17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方正小标宋简体" w:cs="方正小标宋简体" w:asciiTheme="majorAscii" w:hAnsiTheme="majorAscii"/>
          <w:sz w:val="44"/>
          <w:szCs w:val="44"/>
        </w:rPr>
      </w:pPr>
      <w:r>
        <w:rPr>
          <w:rFonts w:hint="eastAsia" w:eastAsia="方正小标宋简体" w:cs="方正小标宋简体" w:asciiTheme="majorAscii" w:hAnsiTheme="majorAscii"/>
          <w:sz w:val="44"/>
          <w:szCs w:val="44"/>
          <w:lang w:eastAsia="zh-CN"/>
        </w:rPr>
        <w:t>五原县</w:t>
      </w:r>
      <w:r>
        <w:rPr>
          <w:rFonts w:hint="default" w:eastAsia="方正小标宋简体" w:cs="方正小标宋简体" w:asciiTheme="majorAscii" w:hAnsiTheme="majorAscii"/>
          <w:sz w:val="44"/>
          <w:szCs w:val="44"/>
        </w:rPr>
        <w:t>村级公益事业财政奖补</w:t>
      </w:r>
    </w:p>
    <w:p w14:paraId="20C496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sz w:val="44"/>
          <w:szCs w:val="44"/>
          <w:lang w:eastAsia="zh-CN"/>
        </w:rPr>
      </w:pPr>
      <w:r>
        <w:rPr>
          <w:rFonts w:hint="default" w:eastAsia="方正小标宋简体" w:cs="方正小标宋简体" w:asciiTheme="majorAscii" w:hAnsiTheme="majorAscii"/>
          <w:sz w:val="44"/>
          <w:szCs w:val="44"/>
        </w:rPr>
        <w:t>项目</w:t>
      </w:r>
      <w:r>
        <w:rPr>
          <w:rFonts w:hint="eastAsia" w:eastAsia="方正小标宋简体" w:cs="方正小标宋简体" w:asciiTheme="majorAscii" w:hAnsiTheme="majorAscii"/>
          <w:sz w:val="44"/>
          <w:szCs w:val="44"/>
          <w:lang w:eastAsia="zh-CN"/>
        </w:rPr>
        <w:t>和资金管理实施细则</w:t>
      </w:r>
    </w:p>
    <w:p w14:paraId="35442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lang w:eastAsia="zh-CN"/>
        </w:rPr>
      </w:pPr>
      <w:r>
        <w:rPr>
          <w:rFonts w:hint="eastAsia" w:eastAsia="方正小标宋简体" w:cs="方正小标宋简体" w:asciiTheme="majorAscii" w:hAnsiTheme="majorAscii"/>
          <w:sz w:val="44"/>
          <w:szCs w:val="44"/>
          <w:lang w:eastAsia="zh-CN"/>
        </w:rPr>
        <w:t>（</w:t>
      </w:r>
      <w:r>
        <w:rPr>
          <w:rFonts w:hint="eastAsia" w:eastAsia="方正小标宋简体" w:cs="方正小标宋简体" w:asciiTheme="majorAscii" w:hAnsiTheme="majorAscii"/>
          <w:sz w:val="44"/>
          <w:szCs w:val="44"/>
          <w:lang w:val="en-US" w:eastAsia="zh-CN"/>
        </w:rPr>
        <w:t>征求意见稿</w:t>
      </w:r>
      <w:r>
        <w:rPr>
          <w:rFonts w:hint="eastAsia" w:eastAsia="方正小标宋简体" w:cs="方正小标宋简体" w:asciiTheme="majorAscii" w:hAnsiTheme="majorAscii"/>
          <w:sz w:val="44"/>
          <w:szCs w:val="44"/>
          <w:lang w:eastAsia="zh-CN"/>
        </w:rPr>
        <w:t>）</w:t>
      </w:r>
    </w:p>
    <w:p w14:paraId="682C5F6E">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Times New Roman" w:hAnsi="Times New Roman" w:eastAsia="仿宋_GB2312" w:cs="仿宋_GB2312"/>
          <w:sz w:val="32"/>
          <w:szCs w:val="32"/>
          <w:lang w:eastAsia="zh-CN"/>
        </w:rPr>
      </w:pPr>
    </w:p>
    <w:p w14:paraId="309B3ED4">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为</w:t>
      </w:r>
      <w:r>
        <w:rPr>
          <w:rFonts w:hint="eastAsia" w:ascii="Times New Roman" w:hAnsi="Times New Roman" w:eastAsia="仿宋_GB2312" w:cs="仿宋_GB2312"/>
          <w:sz w:val="32"/>
          <w:szCs w:val="32"/>
        </w:rPr>
        <w:t>进一步优化</w:t>
      </w:r>
      <w:r>
        <w:rPr>
          <w:rFonts w:hint="eastAsia" w:ascii="Times New Roman" w:hAnsi="Times New Roman" w:eastAsia="仿宋_GB2312" w:cs="仿宋_GB2312"/>
          <w:sz w:val="32"/>
          <w:szCs w:val="32"/>
          <w:lang w:eastAsia="zh-CN"/>
        </w:rPr>
        <w:t>村级公益事业财政奖补项目</w:t>
      </w:r>
      <w:r>
        <w:rPr>
          <w:rFonts w:hint="eastAsia" w:ascii="Times New Roman" w:hAnsi="Times New Roman" w:eastAsia="仿宋_GB2312" w:cs="仿宋_GB2312"/>
          <w:sz w:val="32"/>
          <w:szCs w:val="32"/>
        </w:rPr>
        <w:t>管理流程</w:t>
      </w:r>
      <w:r>
        <w:rPr>
          <w:rFonts w:hint="eastAsia" w:ascii="Times New Roman" w:hAnsi="Times New Roman" w:eastAsia="仿宋_GB2312" w:cs="仿宋_GB2312"/>
          <w:sz w:val="32"/>
          <w:szCs w:val="32"/>
          <w:lang w:val="en-US"/>
        </w:rPr>
        <w:t>和</w:t>
      </w:r>
      <w:r>
        <w:rPr>
          <w:rFonts w:hint="eastAsia" w:ascii="Times New Roman" w:hAnsi="Times New Roman" w:eastAsia="仿宋_GB2312" w:cs="仿宋_GB2312"/>
          <w:sz w:val="32"/>
          <w:szCs w:val="32"/>
          <w:lang w:val="en-US" w:eastAsia="zh-CN"/>
        </w:rPr>
        <w:t>实操指导</w:t>
      </w:r>
      <w:r>
        <w:rPr>
          <w:rFonts w:hint="eastAsia" w:ascii="Times New Roman" w:hAnsi="Times New Roman" w:eastAsia="仿宋_GB2312" w:cs="仿宋_GB2312"/>
          <w:sz w:val="32"/>
          <w:szCs w:val="32"/>
        </w:rPr>
        <w:t>，明确职责分工，确保财政奖补资金高效、透明、规范</w:t>
      </w:r>
      <w:r>
        <w:rPr>
          <w:rFonts w:hint="eastAsia" w:ascii="Times New Roman" w:hAnsi="Times New Roman" w:eastAsia="仿宋_GB2312" w:cs="仿宋_GB2312"/>
          <w:sz w:val="32"/>
          <w:szCs w:val="32"/>
          <w:lang w:eastAsia="zh-CN"/>
        </w:rPr>
        <w:t>使用</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按照《内蒙古自治区农村牧区村级公益事业财政奖补项目和资金管理办法》有关要求</w:t>
      </w:r>
      <w:r>
        <w:rPr>
          <w:rFonts w:hint="eastAsia" w:ascii="Times New Roman" w:hAnsi="Times New Roman" w:eastAsia="仿宋_GB2312" w:cs="仿宋_GB2312"/>
          <w:sz w:val="32"/>
          <w:szCs w:val="32"/>
        </w:rPr>
        <w:t>，结合五原县实际项目管理经验与现状，</w:t>
      </w:r>
      <w:r>
        <w:rPr>
          <w:rFonts w:hint="eastAsia" w:ascii="Times New Roman" w:hAnsi="Times New Roman" w:eastAsia="仿宋_GB2312" w:cs="仿宋_GB2312"/>
          <w:sz w:val="32"/>
          <w:szCs w:val="32"/>
          <w:lang w:val="en-US"/>
        </w:rPr>
        <w:t>特</w:t>
      </w:r>
      <w:r>
        <w:rPr>
          <w:rFonts w:hint="eastAsia" w:ascii="Times New Roman" w:hAnsi="Times New Roman" w:eastAsia="仿宋_GB2312" w:cs="仿宋_GB2312"/>
          <w:sz w:val="32"/>
          <w:szCs w:val="32"/>
        </w:rPr>
        <w:t>制定本补充规定。</w:t>
      </w:r>
    </w:p>
    <w:p w14:paraId="11CC1BD1">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rPr>
        <w:t>一</w:t>
      </w:r>
      <w:r>
        <w:rPr>
          <w:rFonts w:hint="eastAsia" w:ascii="黑体" w:hAnsi="黑体" w:eastAsia="黑体" w:cs="黑体"/>
          <w:b w:val="0"/>
          <w:bCs w:val="0"/>
          <w:sz w:val="32"/>
          <w:szCs w:val="32"/>
        </w:rPr>
        <w:t>、项目议事程序</w:t>
      </w:r>
    </w:p>
    <w:p w14:paraId="2A7B47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（一）议事</w:t>
      </w:r>
      <w:r>
        <w:rPr>
          <w:rFonts w:hint="eastAsia" w:ascii="楷体_GB2312" w:hAnsi="楷体_GB2312" w:eastAsia="楷体_GB2312" w:cs="楷体_GB2312"/>
          <w:b/>
          <w:bCs/>
          <w:sz w:val="32"/>
          <w:szCs w:val="32"/>
          <w:lang w:val="en-US"/>
        </w:rPr>
        <w:t>组织</w:t>
      </w:r>
      <w:r>
        <w:rPr>
          <w:rFonts w:hint="eastAsia" w:ascii="楷体_GB2312" w:hAnsi="楷体_GB2312" w:eastAsia="楷体_GB2312" w:cs="楷体_GB2312"/>
          <w:b/>
          <w:bCs/>
          <w:sz w:val="32"/>
          <w:szCs w:val="32"/>
        </w:rPr>
        <w:t>与监督</w:t>
      </w:r>
    </w:p>
    <w:p w14:paraId="1A340C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1.</w:t>
      </w:r>
      <w:r>
        <w:rPr>
          <w:rFonts w:hint="eastAsia" w:ascii="Times New Roman" w:hAnsi="Times New Roman" w:eastAsia="仿宋_GB2312" w:cs="仿宋_GB2312"/>
          <w:b/>
          <w:bCs/>
          <w:color w:val="000000"/>
          <w:sz w:val="32"/>
          <w:szCs w:val="32"/>
          <w:lang w:val="en-US"/>
        </w:rPr>
        <w:t>组织</w:t>
      </w:r>
      <w:r>
        <w:rPr>
          <w:rFonts w:hint="eastAsia" w:ascii="Times New Roman" w:hAnsi="Times New Roman" w:eastAsia="仿宋_GB2312" w:cs="仿宋_GB2312"/>
          <w:b/>
          <w:bCs/>
          <w:color w:val="000000"/>
          <w:sz w:val="32"/>
          <w:szCs w:val="32"/>
        </w:rPr>
        <w:t>召集</w:t>
      </w:r>
      <w:r>
        <w:rPr>
          <w:rFonts w:hint="eastAsia" w:ascii="Times New Roman" w:hAnsi="Times New Roman" w:eastAsia="仿宋_GB2312" w:cs="仿宋_GB2312"/>
          <w:sz w:val="32"/>
          <w:szCs w:val="32"/>
        </w:rPr>
        <w:t>：项目议事应由村两委或</w:t>
      </w:r>
      <w:r>
        <w:rPr>
          <w:rFonts w:hint="eastAsia" w:ascii="Times New Roman" w:hAnsi="Times New Roman" w:eastAsia="仿宋_GB2312" w:cs="仿宋_GB2312"/>
          <w:sz w:val="32"/>
          <w:szCs w:val="32"/>
          <w:highlight w:val="none"/>
        </w:rPr>
        <w:t>国有农牧林场管理机构</w:t>
      </w:r>
      <w:r>
        <w:rPr>
          <w:rFonts w:hint="eastAsia" w:ascii="Times New Roman" w:hAnsi="Times New Roman" w:eastAsia="仿宋_GB2312" w:cs="仿宋_GB2312"/>
          <w:sz w:val="32"/>
          <w:szCs w:val="32"/>
          <w:lang w:val="en-US"/>
        </w:rPr>
        <w:t>组织</w:t>
      </w:r>
      <w:r>
        <w:rPr>
          <w:rFonts w:hint="eastAsia" w:ascii="Times New Roman" w:hAnsi="Times New Roman" w:eastAsia="仿宋_GB2312" w:cs="仿宋_GB2312"/>
          <w:sz w:val="32"/>
          <w:szCs w:val="32"/>
        </w:rPr>
        <w:t>召集，充分尊重农牧民主体地位，确保议事过程由农牧民自主决策，严禁任何形式的越权代劳</w:t>
      </w:r>
      <w:r>
        <w:rPr>
          <w:rFonts w:hint="eastAsia" w:ascii="Times New Roman" w:hAnsi="Times New Roman" w:eastAsia="仿宋_GB2312" w:cs="仿宋_GB2312"/>
          <w:sz w:val="32"/>
          <w:szCs w:val="32"/>
          <w:lang w:val="en-US"/>
        </w:rPr>
        <w:t>决策。</w:t>
      </w:r>
    </w:p>
    <w:p w14:paraId="6BEDC0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rPr>
        <w:t>乡镇</w:t>
      </w:r>
      <w:r>
        <w:rPr>
          <w:rFonts w:hint="eastAsia" w:ascii="Times New Roman" w:hAnsi="Times New Roman" w:eastAsia="仿宋_GB2312" w:cs="仿宋_GB2312"/>
          <w:b/>
          <w:bCs/>
          <w:sz w:val="32"/>
          <w:szCs w:val="32"/>
          <w:lang w:val="en-US"/>
        </w:rPr>
        <w:t>职责</w:t>
      </w:r>
      <w:r>
        <w:rPr>
          <w:rFonts w:hint="eastAsia" w:ascii="Times New Roman" w:hAnsi="Times New Roman" w:eastAsia="仿宋_GB2312" w:cs="仿宋_GB2312"/>
          <w:sz w:val="32"/>
          <w:szCs w:val="32"/>
        </w:rPr>
        <w:t>：乡镇</w:t>
      </w:r>
      <w:r>
        <w:rPr>
          <w:rFonts w:hint="eastAsia" w:ascii="Times New Roman" w:hAnsi="Times New Roman" w:eastAsia="仿宋_GB2312" w:cs="仿宋_GB2312"/>
          <w:sz w:val="32"/>
          <w:szCs w:val="32"/>
          <w:lang w:val="en-US"/>
        </w:rPr>
        <w:t>承担</w:t>
      </w:r>
      <w:r>
        <w:rPr>
          <w:rFonts w:hint="eastAsia" w:ascii="Times New Roman" w:hAnsi="Times New Roman" w:eastAsia="仿宋_GB2312" w:cs="仿宋_GB2312"/>
          <w:sz w:val="32"/>
          <w:szCs w:val="32"/>
        </w:rPr>
        <w:t>指导</w:t>
      </w:r>
      <w:r>
        <w:rPr>
          <w:rFonts w:hint="eastAsia" w:ascii="Times New Roman" w:hAnsi="Times New Roman" w:eastAsia="仿宋_GB2312" w:cs="仿宋_GB2312"/>
          <w:sz w:val="32"/>
          <w:szCs w:val="32"/>
          <w:lang w:val="en-US"/>
        </w:rPr>
        <w:t>把关</w:t>
      </w:r>
      <w:r>
        <w:rPr>
          <w:rFonts w:hint="eastAsia" w:ascii="Times New Roman" w:hAnsi="Times New Roman" w:eastAsia="仿宋_GB2312" w:cs="仿宋_GB2312"/>
          <w:sz w:val="32"/>
          <w:szCs w:val="32"/>
        </w:rPr>
        <w:t>与协助</w:t>
      </w:r>
      <w:r>
        <w:rPr>
          <w:rFonts w:hint="eastAsia" w:ascii="Times New Roman" w:hAnsi="Times New Roman" w:eastAsia="仿宋_GB2312" w:cs="仿宋_GB2312"/>
          <w:sz w:val="32"/>
          <w:szCs w:val="32"/>
          <w:lang w:val="en-US"/>
        </w:rPr>
        <w:t>组织</w:t>
      </w:r>
      <w:r>
        <w:rPr>
          <w:rFonts w:hint="eastAsia" w:ascii="Times New Roman" w:hAnsi="Times New Roman" w:eastAsia="仿宋_GB2312" w:cs="仿宋_GB2312"/>
          <w:sz w:val="32"/>
          <w:szCs w:val="32"/>
        </w:rPr>
        <w:t>的角色，监督议事过程，确保程序合法合规，农牧民意愿得到真实反映。每次议事会议均应有乡镇代表出席并记录。</w:t>
      </w:r>
    </w:p>
    <w:p w14:paraId="728684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（二）议事成果要求</w:t>
      </w:r>
    </w:p>
    <w:p w14:paraId="1AC3E1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rPr>
        <w:t>会议记录</w:t>
      </w:r>
      <w:r>
        <w:rPr>
          <w:rFonts w:hint="eastAsia" w:ascii="Times New Roman" w:hAnsi="Times New Roman" w:eastAsia="仿宋_GB2312" w:cs="仿宋_GB2312"/>
          <w:sz w:val="32"/>
          <w:szCs w:val="32"/>
        </w:rPr>
        <w:t>：形成并保存《农牧民议事会议记录》，详细记录项目资金预算、建设内容、资金筹集计划、农牧民参与筹资筹劳的具体方案</w:t>
      </w:r>
      <w:r>
        <w:rPr>
          <w:rFonts w:hint="eastAsia" w:ascii="Times New Roman" w:hAnsi="Times New Roman" w:eastAsia="仿宋_GB2312" w:cs="仿宋_GB2312"/>
          <w:sz w:val="32"/>
          <w:szCs w:val="32"/>
          <w:lang w:val="en-US"/>
        </w:rPr>
        <w:t>（符合县农经部门规定和报送要求）</w:t>
      </w:r>
      <w:r>
        <w:rPr>
          <w:rFonts w:hint="eastAsia" w:ascii="Times New Roman" w:hAnsi="Times New Roman" w:eastAsia="仿宋_GB2312" w:cs="仿宋_GB2312"/>
          <w:sz w:val="32"/>
          <w:szCs w:val="32"/>
        </w:rPr>
        <w:t>、项目建成后的管理维护责任主体等关键信息。</w:t>
      </w:r>
    </w:p>
    <w:p w14:paraId="31233E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rPr>
        <w:t>表决记录</w:t>
      </w:r>
      <w:r>
        <w:rPr>
          <w:rFonts w:hint="eastAsia" w:ascii="Times New Roman" w:hAnsi="Times New Roman" w:eastAsia="仿宋_GB2312" w:cs="仿宋_GB2312"/>
          <w:sz w:val="32"/>
          <w:szCs w:val="32"/>
        </w:rPr>
        <w:t>：农牧民本人亲自签字确认的《农牧民表决记录》，严禁代签，确保表决结果的真实性与有效性。</w:t>
      </w:r>
    </w:p>
    <w:p w14:paraId="57A050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3.</w:t>
      </w:r>
      <w:r>
        <w:rPr>
          <w:rFonts w:hint="eastAsia" w:ascii="Times New Roman" w:hAnsi="Times New Roman" w:eastAsia="仿宋_GB2312" w:cs="仿宋_GB2312"/>
          <w:b/>
          <w:bCs/>
          <w:sz w:val="32"/>
          <w:szCs w:val="32"/>
        </w:rPr>
        <w:t>监督小组</w:t>
      </w:r>
      <w:r>
        <w:rPr>
          <w:rFonts w:hint="eastAsia" w:ascii="Times New Roman" w:hAnsi="Times New Roman" w:eastAsia="仿宋_GB2312" w:cs="仿宋_GB2312"/>
          <w:sz w:val="32"/>
          <w:szCs w:val="32"/>
        </w:rPr>
        <w:t>：组建项目质量监督小组，成员包括3名农牧民代表、1名乡镇</w:t>
      </w:r>
      <w:r>
        <w:rPr>
          <w:rFonts w:hint="eastAsia" w:ascii="Times New Roman" w:hAnsi="Times New Roman" w:eastAsia="仿宋_GB2312" w:cs="仿宋_GB2312"/>
          <w:sz w:val="32"/>
          <w:szCs w:val="32"/>
          <w:highlight w:val="none"/>
        </w:rPr>
        <w:t>（国有农牧林场）</w:t>
      </w:r>
      <w:r>
        <w:rPr>
          <w:rFonts w:hint="eastAsia" w:ascii="Times New Roman" w:hAnsi="Times New Roman" w:eastAsia="仿宋_GB2312" w:cs="仿宋_GB2312"/>
          <w:sz w:val="32"/>
          <w:szCs w:val="32"/>
        </w:rPr>
        <w:t>项目主管及1名技术主管，以保障监督的全面性与专业性。</w:t>
      </w:r>
    </w:p>
    <w:p w14:paraId="5DC7AC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rPr>
        <w:t>现场照片</w:t>
      </w:r>
      <w:r>
        <w:rPr>
          <w:rFonts w:hint="eastAsia" w:ascii="Times New Roman" w:hAnsi="Times New Roman" w:eastAsia="仿宋_GB2312" w:cs="仿宋_GB2312"/>
          <w:sz w:val="32"/>
          <w:szCs w:val="32"/>
        </w:rPr>
        <w:t>：拍摄并保存议事现场照片，自动记录拍摄时间、地点，清晰展现农牧民签字及会议场景，作为系统上传资料的重要组成部分。</w:t>
      </w:r>
    </w:p>
    <w:p w14:paraId="098EAA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（三）公示与资料准备</w:t>
      </w:r>
    </w:p>
    <w:p w14:paraId="6DB40A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rPr>
        <w:t>公示制度</w:t>
      </w:r>
      <w:r>
        <w:rPr>
          <w:rFonts w:hint="eastAsia" w:ascii="Times New Roman" w:hAnsi="Times New Roman" w:eastAsia="仿宋_GB2312" w:cs="仿宋_GB2312"/>
          <w:sz w:val="32"/>
          <w:szCs w:val="32"/>
        </w:rPr>
        <w:t>：项目决策、招投标、决算等关键信息需统一在全县三资管理平台上进行公示，增强透明度，主动接受</w:t>
      </w:r>
      <w:r>
        <w:rPr>
          <w:rFonts w:hint="eastAsia" w:ascii="Times New Roman" w:hAnsi="Times New Roman" w:eastAsia="仿宋_GB2312" w:cs="仿宋_GB2312"/>
          <w:sz w:val="32"/>
          <w:szCs w:val="32"/>
          <w:lang w:val="en-US"/>
        </w:rPr>
        <w:t>议事主体</w:t>
      </w:r>
      <w:r>
        <w:rPr>
          <w:rFonts w:hint="eastAsia" w:ascii="Times New Roman" w:hAnsi="Times New Roman" w:eastAsia="仿宋_GB2312" w:cs="仿宋_GB2312"/>
          <w:sz w:val="32"/>
          <w:szCs w:val="32"/>
        </w:rPr>
        <w:t>监督。</w:t>
      </w:r>
    </w:p>
    <w:p w14:paraId="04CC64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rPr>
        <w:t>资料准备</w:t>
      </w:r>
      <w:r>
        <w:rPr>
          <w:rFonts w:hint="eastAsia" w:ascii="Times New Roman" w:hAnsi="Times New Roman" w:eastAsia="仿宋_GB2312" w:cs="仿宋_GB2312"/>
          <w:sz w:val="32"/>
          <w:szCs w:val="32"/>
        </w:rPr>
        <w:t>：乡镇向财政局提交项目申报前，必须确保已完成上述完整的议事流程及资料准备工作。</w:t>
      </w:r>
    </w:p>
    <w:p w14:paraId="3065717F">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val="en-US"/>
        </w:rPr>
        <w:t>、乡村项目申报</w:t>
      </w:r>
    </w:p>
    <w:p w14:paraId="4FE64F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（一）村级申报</w:t>
      </w:r>
    </w:p>
    <w:p w14:paraId="4E78C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议事完成后，由村三委负责人与乡镇参会负责人共同签字并加盖村委会公章，提交《农牧民议事会议记录》《农牧民表决记录》《项目预算表》《项目申报表》及项目申请报告（含项目建设地点卫星定位数据）</w:t>
      </w:r>
      <w:r>
        <w:rPr>
          <w:rFonts w:hint="eastAsia" w:ascii="Times New Roman" w:hAnsi="Times New Roman" w:eastAsia="仿宋_GB2312" w:cs="仿宋_GB2312"/>
          <w:sz w:val="32"/>
          <w:szCs w:val="32"/>
          <w:highlight w:val="none"/>
        </w:rPr>
        <w:t>等至乡镇</w:t>
      </w:r>
      <w:r>
        <w:rPr>
          <w:rFonts w:hint="eastAsia" w:ascii="Times New Roman" w:hAnsi="Times New Roman" w:eastAsia="仿宋_GB2312" w:cs="仿宋_GB2312"/>
          <w:sz w:val="32"/>
          <w:szCs w:val="32"/>
          <w:highlight w:val="none"/>
          <w:lang w:val="en-US"/>
        </w:rPr>
        <w:t>主管部门</w:t>
      </w:r>
      <w:r>
        <w:rPr>
          <w:rFonts w:hint="eastAsia" w:ascii="Times New Roman" w:hAnsi="Times New Roman" w:eastAsia="仿宋_GB2312" w:cs="仿宋_GB2312"/>
          <w:sz w:val="32"/>
          <w:szCs w:val="32"/>
        </w:rPr>
        <w:t>。</w:t>
      </w:r>
    </w:p>
    <w:p w14:paraId="1B0CC0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（二）乡镇审核</w:t>
      </w:r>
    </w:p>
    <w:p w14:paraId="5DE42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rPr>
        <w:t>乡镇主管部门</w:t>
      </w:r>
      <w:r>
        <w:rPr>
          <w:rFonts w:hint="eastAsia" w:ascii="Times New Roman" w:hAnsi="Times New Roman" w:eastAsia="仿宋_GB2312" w:cs="仿宋_GB2312"/>
          <w:sz w:val="32"/>
          <w:szCs w:val="32"/>
        </w:rPr>
        <w:t>管理人员对申报材料进行严格审查，提交领导研究，结合乡镇规划与用地审批情况，形成项目规划并录入</w:t>
      </w:r>
      <w:r>
        <w:rPr>
          <w:rFonts w:hint="eastAsia" w:ascii="Times New Roman" w:hAnsi="Times New Roman" w:eastAsia="仿宋_GB2312" w:cs="仿宋_GB2312"/>
          <w:sz w:val="32"/>
          <w:szCs w:val="32"/>
          <w:lang w:val="en-US"/>
        </w:rPr>
        <w:t>管理</w:t>
      </w:r>
      <w:r>
        <w:rPr>
          <w:rFonts w:hint="eastAsia" w:ascii="Times New Roman" w:hAnsi="Times New Roman" w:eastAsia="仿宋_GB2312" w:cs="仿宋_GB2312"/>
          <w:sz w:val="32"/>
          <w:szCs w:val="32"/>
        </w:rPr>
        <w:t>系统。涉及需</w:t>
      </w:r>
      <w:r>
        <w:rPr>
          <w:rFonts w:hint="eastAsia" w:ascii="Times New Roman" w:hAnsi="Times New Roman" w:eastAsia="仿宋_GB2312" w:cs="仿宋_GB2312"/>
          <w:sz w:val="32"/>
          <w:szCs w:val="32"/>
          <w:lang w:val="en-US"/>
        </w:rPr>
        <w:t>水利、交通、林草、自然资源、住建、环保、电力等</w:t>
      </w:r>
      <w:r>
        <w:rPr>
          <w:rFonts w:hint="eastAsia" w:ascii="Times New Roman" w:hAnsi="Times New Roman" w:eastAsia="仿宋_GB2312" w:cs="仿宋_GB2312"/>
          <w:sz w:val="32"/>
          <w:szCs w:val="32"/>
        </w:rPr>
        <w:t>部门审核</w:t>
      </w:r>
      <w:r>
        <w:rPr>
          <w:rFonts w:hint="eastAsia" w:ascii="Times New Roman" w:hAnsi="Times New Roman" w:eastAsia="仿宋_GB2312" w:cs="仿宋_GB2312"/>
          <w:sz w:val="32"/>
          <w:szCs w:val="32"/>
          <w:lang w:val="en-US"/>
        </w:rPr>
        <w:t>或备案</w:t>
      </w:r>
      <w:r>
        <w:rPr>
          <w:rFonts w:hint="eastAsia" w:ascii="Times New Roman" w:hAnsi="Times New Roman" w:eastAsia="仿宋_GB2312" w:cs="仿宋_GB2312"/>
          <w:sz w:val="32"/>
          <w:szCs w:val="32"/>
        </w:rPr>
        <w:t>的项目，</w:t>
      </w:r>
      <w:r>
        <w:rPr>
          <w:rFonts w:hint="eastAsia" w:ascii="Times New Roman" w:hAnsi="Times New Roman" w:eastAsia="仿宋_GB2312" w:cs="仿宋_GB2312"/>
          <w:sz w:val="32"/>
          <w:szCs w:val="32"/>
          <w:lang w:val="en-US"/>
        </w:rPr>
        <w:t>乡镇要</w:t>
      </w:r>
      <w:r>
        <w:rPr>
          <w:rFonts w:hint="eastAsia" w:ascii="Times New Roman" w:hAnsi="Times New Roman" w:eastAsia="仿宋_GB2312" w:cs="仿宋_GB2312"/>
          <w:sz w:val="32"/>
          <w:szCs w:val="32"/>
        </w:rPr>
        <w:t>及时上报并取得审查意见</w:t>
      </w:r>
      <w:r>
        <w:rPr>
          <w:rFonts w:hint="eastAsia" w:ascii="Times New Roman" w:hAnsi="Times New Roman" w:eastAsia="仿宋_GB2312" w:cs="仿宋_GB2312"/>
          <w:sz w:val="32"/>
          <w:szCs w:val="32"/>
          <w:lang w:val="en-US"/>
        </w:rPr>
        <w:t>或备案</w:t>
      </w:r>
      <w:r>
        <w:rPr>
          <w:rFonts w:hint="eastAsia" w:ascii="Times New Roman" w:hAnsi="Times New Roman" w:eastAsia="仿宋_GB2312" w:cs="仿宋_GB2312"/>
          <w:sz w:val="32"/>
          <w:szCs w:val="32"/>
        </w:rPr>
        <w:t>。项目规划经乡镇项目管理人员及主要领导签字确认并加盖公章后，上报财政局。同时，针对每个项目制定《项目绩效表》，并在项目获批后完善乡镇级绩效表。</w:t>
      </w:r>
    </w:p>
    <w:p w14:paraId="70579106">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val="en-US"/>
        </w:rPr>
        <w:t>、市县财政审定和批复</w:t>
      </w:r>
    </w:p>
    <w:p w14:paraId="46398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县财政局</w:t>
      </w:r>
      <w:r>
        <w:rPr>
          <w:rFonts w:hint="eastAsia" w:ascii="Times New Roman" w:hAnsi="Times New Roman" w:eastAsia="仿宋_GB2312" w:cs="仿宋_GB2312"/>
          <w:sz w:val="32"/>
          <w:szCs w:val="32"/>
          <w:lang w:val="en-US"/>
        </w:rPr>
        <w:t>在现场了解各乡镇申报项目基础上，</w:t>
      </w:r>
      <w:r>
        <w:rPr>
          <w:rFonts w:hint="eastAsia" w:ascii="Times New Roman" w:hAnsi="Times New Roman" w:eastAsia="仿宋_GB2312" w:cs="仿宋_GB2312"/>
          <w:sz w:val="32"/>
          <w:szCs w:val="32"/>
        </w:rPr>
        <w:t>依据上级资金补贴、本级预算及全县项目规划，综合县委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县</w:t>
      </w:r>
      <w:bookmarkStart w:id="0" w:name="_GoBack"/>
      <w:bookmarkEnd w:id="0"/>
      <w:r>
        <w:rPr>
          <w:rFonts w:hint="eastAsia" w:ascii="Times New Roman" w:hAnsi="Times New Roman" w:eastAsia="仿宋_GB2312" w:cs="仿宋_GB2312"/>
          <w:sz w:val="32"/>
          <w:szCs w:val="32"/>
        </w:rPr>
        <w:t>政府指导意见，确定年度项目建设规模与具体项目规划</w:t>
      </w:r>
      <w:r>
        <w:rPr>
          <w:rFonts w:hint="eastAsia" w:ascii="Times New Roman" w:hAnsi="Times New Roman" w:eastAsia="仿宋_GB2312" w:cs="仿宋_GB2312"/>
          <w:sz w:val="32"/>
          <w:szCs w:val="32"/>
          <w:lang w:val="en-US"/>
        </w:rPr>
        <w:t>上报市财政局</w:t>
      </w:r>
      <w:r>
        <w:rPr>
          <w:rFonts w:hint="eastAsia" w:ascii="Times New Roman" w:hAnsi="Times New Roman" w:eastAsia="仿宋_GB2312" w:cs="仿宋_GB2312"/>
          <w:sz w:val="32"/>
          <w:szCs w:val="32"/>
          <w:highlight w:val="none"/>
        </w:rPr>
        <w:t>。市财政审核批复后，再行批复各乡镇</w:t>
      </w:r>
      <w:r>
        <w:rPr>
          <w:rFonts w:hint="eastAsia" w:ascii="Times New Roman" w:hAnsi="Times New Roman" w:eastAsia="仿宋_GB2312" w:cs="仿宋_GB2312"/>
          <w:sz w:val="32"/>
          <w:szCs w:val="32"/>
          <w:highlight w:val="none"/>
          <w:lang w:eastAsia="zh-CN"/>
        </w:rPr>
        <w:t>，并</w:t>
      </w:r>
      <w:r>
        <w:rPr>
          <w:rFonts w:hint="eastAsia" w:ascii="Times New Roman" w:hAnsi="Times New Roman" w:eastAsia="仿宋_GB2312" w:cs="仿宋_GB2312"/>
          <w:sz w:val="32"/>
          <w:szCs w:val="32"/>
          <w:highlight w:val="none"/>
          <w:lang w:val="en-US"/>
        </w:rPr>
        <w:t>制定全县项目绩效。</w:t>
      </w:r>
    </w:p>
    <w:p w14:paraId="67CE6AA3">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val="en-US"/>
        </w:rPr>
        <w:t>、乡镇项目管理</w:t>
      </w:r>
    </w:p>
    <w:p w14:paraId="7BF9AB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rPr>
        <w:t>（一）开工准备</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rPr>
        <w:t>完成财政审批、部门审核、资金筹集、</w:t>
      </w:r>
      <w:r>
        <w:rPr>
          <w:rFonts w:hint="eastAsia" w:ascii="Times New Roman" w:hAnsi="Times New Roman" w:eastAsia="仿宋_GB2312" w:cs="仿宋_GB2312"/>
          <w:sz w:val="32"/>
          <w:szCs w:val="32"/>
          <w:lang w:val="en-US"/>
        </w:rPr>
        <w:t>采购</w:t>
      </w:r>
      <w:r>
        <w:rPr>
          <w:rFonts w:hint="eastAsia" w:ascii="Times New Roman" w:hAnsi="Times New Roman" w:eastAsia="仿宋_GB2312" w:cs="仿宋_GB2312"/>
          <w:sz w:val="32"/>
          <w:szCs w:val="32"/>
        </w:rPr>
        <w:t>招标、合同签订等前期工作，明确质量监督与监理单位职责，村两委全程参与并监督。所有准备事项录入系统后，由乡镇批准开工。</w:t>
      </w:r>
    </w:p>
    <w:p w14:paraId="15EF47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rPr>
        <w:t>（二）项目变更</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rPr>
        <w:t>项目批复后，原则上不允许变更。预算</w:t>
      </w:r>
      <w:r>
        <w:rPr>
          <w:rFonts w:hint="eastAsia" w:ascii="Times New Roman" w:hAnsi="Times New Roman" w:eastAsia="仿宋_GB2312" w:cs="仿宋_GB2312"/>
          <w:sz w:val="32"/>
          <w:szCs w:val="32"/>
          <w:lang w:val="en-US"/>
        </w:rPr>
        <w:t>变更</w:t>
      </w:r>
      <w:r>
        <w:rPr>
          <w:rFonts w:hint="eastAsia" w:ascii="Times New Roman" w:hAnsi="Times New Roman" w:eastAsia="仿宋_GB2312" w:cs="仿宋_GB2312"/>
          <w:sz w:val="32"/>
          <w:szCs w:val="32"/>
        </w:rPr>
        <w:t>幅度在10%以内的，可直接通过决算</w:t>
      </w:r>
      <w:r>
        <w:rPr>
          <w:rFonts w:hint="eastAsia" w:ascii="Times New Roman" w:hAnsi="Times New Roman" w:eastAsia="仿宋_GB2312" w:cs="仿宋_GB2312"/>
          <w:sz w:val="32"/>
          <w:szCs w:val="32"/>
          <w:lang w:val="en-US"/>
        </w:rPr>
        <w:t>评审</w:t>
      </w:r>
      <w:r>
        <w:rPr>
          <w:rFonts w:hint="eastAsia" w:ascii="Times New Roman" w:hAnsi="Times New Roman" w:eastAsia="仿宋_GB2312" w:cs="仿宋_GB2312"/>
          <w:sz w:val="32"/>
          <w:szCs w:val="32"/>
        </w:rPr>
        <w:t>一次性调整；</w:t>
      </w:r>
      <w:r>
        <w:rPr>
          <w:rFonts w:hint="eastAsia" w:ascii="Times New Roman" w:hAnsi="Times New Roman" w:eastAsia="仿宋_GB2312" w:cs="仿宋_GB2312"/>
          <w:sz w:val="32"/>
          <w:szCs w:val="32"/>
          <w:lang w:val="en-US"/>
        </w:rPr>
        <w:t>预算</w:t>
      </w:r>
      <w:r>
        <w:rPr>
          <w:rFonts w:hint="eastAsia" w:ascii="Times New Roman" w:hAnsi="Times New Roman" w:eastAsia="仿宋_GB2312" w:cs="仿宋_GB2312"/>
          <w:sz w:val="32"/>
          <w:szCs w:val="32"/>
        </w:rPr>
        <w:t>变动幅度较大、影响项目正常实施的，需由乡镇报</w:t>
      </w:r>
      <w:r>
        <w:rPr>
          <w:rFonts w:hint="eastAsia" w:ascii="Times New Roman" w:hAnsi="Times New Roman" w:eastAsia="仿宋_GB2312" w:cs="仿宋_GB2312"/>
          <w:sz w:val="32"/>
          <w:szCs w:val="32"/>
          <w:lang w:val="en-US"/>
        </w:rPr>
        <w:t>县</w:t>
      </w:r>
      <w:r>
        <w:rPr>
          <w:rFonts w:hint="eastAsia" w:ascii="Times New Roman" w:hAnsi="Times New Roman" w:eastAsia="仿宋_GB2312" w:cs="仿宋_GB2312"/>
          <w:sz w:val="32"/>
          <w:szCs w:val="32"/>
        </w:rPr>
        <w:t>财政</w:t>
      </w:r>
      <w:r>
        <w:rPr>
          <w:rFonts w:hint="eastAsia" w:ascii="Times New Roman" w:hAnsi="Times New Roman" w:eastAsia="仿宋_GB2312" w:cs="仿宋_GB2312"/>
          <w:sz w:val="32"/>
          <w:szCs w:val="32"/>
          <w:lang w:val="en-US"/>
        </w:rPr>
        <w:t>局</w:t>
      </w:r>
      <w:r>
        <w:rPr>
          <w:rFonts w:hint="eastAsia" w:ascii="Times New Roman" w:hAnsi="Times New Roman" w:eastAsia="仿宋_GB2312" w:cs="仿宋_GB2312"/>
          <w:sz w:val="32"/>
          <w:szCs w:val="32"/>
        </w:rPr>
        <w:t>申请取消立项或变更批复。变更批复不</w:t>
      </w:r>
      <w:r>
        <w:rPr>
          <w:rFonts w:hint="eastAsia" w:ascii="Times New Roman" w:hAnsi="Times New Roman" w:eastAsia="仿宋_GB2312" w:cs="仿宋_GB2312"/>
          <w:sz w:val="32"/>
          <w:szCs w:val="32"/>
          <w:lang w:val="en-US"/>
        </w:rPr>
        <w:t>可</w:t>
      </w:r>
      <w:r>
        <w:rPr>
          <w:rFonts w:hint="eastAsia" w:ascii="Times New Roman" w:hAnsi="Times New Roman" w:eastAsia="仿宋_GB2312" w:cs="仿宋_GB2312"/>
          <w:sz w:val="32"/>
          <w:szCs w:val="32"/>
        </w:rPr>
        <w:t>增加</w:t>
      </w:r>
      <w:r>
        <w:rPr>
          <w:rFonts w:hint="eastAsia" w:ascii="Times New Roman" w:hAnsi="Times New Roman" w:eastAsia="仿宋_GB2312" w:cs="仿宋_GB2312"/>
          <w:sz w:val="32"/>
          <w:szCs w:val="32"/>
          <w:lang w:val="en-US"/>
        </w:rPr>
        <w:t>财政</w:t>
      </w:r>
      <w:r>
        <w:rPr>
          <w:rFonts w:hint="eastAsia" w:ascii="Times New Roman" w:hAnsi="Times New Roman" w:eastAsia="仿宋_GB2312" w:cs="仿宋_GB2312"/>
          <w:sz w:val="32"/>
          <w:szCs w:val="32"/>
        </w:rPr>
        <w:t>奖补。</w:t>
      </w:r>
    </w:p>
    <w:p w14:paraId="0FEB7F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rPr>
        <w:t>（三）筹资管理</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lang w:val="en-US"/>
        </w:rPr>
        <w:t>项目村要为筹资人出具符合县农经部门规定的筹资票据，并</w:t>
      </w:r>
      <w:r>
        <w:rPr>
          <w:rFonts w:hint="eastAsia" w:ascii="Times New Roman" w:hAnsi="Times New Roman" w:eastAsia="仿宋_GB2312" w:cs="仿宋_GB2312"/>
          <w:sz w:val="32"/>
          <w:szCs w:val="32"/>
        </w:rPr>
        <w:t>作为原始凭证入账，群众出劳情况详细登记备查。筹资未到位前，不得申请奖补资金。</w:t>
      </w:r>
    </w:p>
    <w:p w14:paraId="7A08F6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rPr>
        <w:t>（四）招投标与询价</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rPr>
        <w:t>达到招投标标准的项目必须公开招标。未达</w:t>
      </w:r>
      <w:r>
        <w:rPr>
          <w:rFonts w:hint="eastAsia" w:ascii="Times New Roman" w:hAnsi="Times New Roman" w:eastAsia="仿宋_GB2312" w:cs="仿宋_GB2312"/>
          <w:sz w:val="32"/>
          <w:szCs w:val="32"/>
          <w:lang w:eastAsia="zh-CN"/>
        </w:rPr>
        <w:t>招标限额</w:t>
      </w:r>
      <w:r>
        <w:rPr>
          <w:rFonts w:hint="eastAsia" w:ascii="Times New Roman" w:hAnsi="Times New Roman" w:eastAsia="仿宋_GB2312" w:cs="仿宋_GB2312"/>
          <w:sz w:val="32"/>
          <w:szCs w:val="32"/>
        </w:rPr>
        <w:t>标准项目，乡镇可自行选择施工单位，建议通过技术咨询、询价比价</w:t>
      </w:r>
      <w:r>
        <w:rPr>
          <w:rFonts w:hint="eastAsia" w:ascii="Times New Roman" w:hAnsi="Times New Roman" w:eastAsia="仿宋_GB2312" w:cs="仿宋_GB2312"/>
          <w:sz w:val="32"/>
          <w:szCs w:val="32"/>
          <w:lang w:val="en-US"/>
        </w:rPr>
        <w:t>做好质量和</w:t>
      </w:r>
      <w:r>
        <w:rPr>
          <w:rFonts w:hint="eastAsia" w:ascii="Times New Roman" w:hAnsi="Times New Roman" w:eastAsia="仿宋_GB2312" w:cs="仿宋_GB2312"/>
          <w:sz w:val="32"/>
          <w:szCs w:val="32"/>
        </w:rPr>
        <w:t>成本</w:t>
      </w:r>
      <w:r>
        <w:rPr>
          <w:rFonts w:hint="eastAsia" w:ascii="Times New Roman" w:hAnsi="Times New Roman" w:eastAsia="仿宋_GB2312" w:cs="仿宋_GB2312"/>
          <w:sz w:val="32"/>
          <w:szCs w:val="32"/>
          <w:lang w:val="en-US"/>
        </w:rPr>
        <w:t>控制</w:t>
      </w:r>
      <w:r>
        <w:rPr>
          <w:rFonts w:hint="eastAsia" w:ascii="Times New Roman" w:hAnsi="Times New Roman" w:eastAsia="仿宋_GB2312" w:cs="仿宋_GB2312"/>
          <w:sz w:val="32"/>
          <w:szCs w:val="32"/>
        </w:rPr>
        <w:t>。</w:t>
      </w:r>
    </w:p>
    <w:p w14:paraId="16334E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rPr>
        <w:t>（五）合同管理</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rPr>
        <w:t>合同条款应明确建设内容、金额、技术质量要求及资料收集等要素，订立三方合同，确保村两委全程参与与监督，</w:t>
      </w:r>
      <w:r>
        <w:rPr>
          <w:rFonts w:hint="eastAsia" w:ascii="Times New Roman" w:hAnsi="Times New Roman" w:eastAsia="仿宋_GB2312" w:cs="仿宋_GB2312"/>
          <w:b w:val="0"/>
          <w:bCs w:val="0"/>
          <w:i w:val="0"/>
          <w:iCs w:val="0"/>
          <w:color w:val="auto"/>
          <w:kern w:val="2"/>
          <w:sz w:val="32"/>
          <w:szCs w:val="32"/>
          <w:highlight w:val="none"/>
          <w:vertAlign w:val="baseline"/>
          <w:lang w:val="en-US" w:eastAsia="zh-CN"/>
        </w:rPr>
        <w:t>提升合同执行的透明度与公信力，</w:t>
      </w:r>
      <w:r>
        <w:rPr>
          <w:rFonts w:hint="eastAsia" w:ascii="Times New Roman" w:hAnsi="Times New Roman" w:eastAsia="仿宋_GB2312" w:cs="仿宋_GB2312"/>
          <w:sz w:val="32"/>
          <w:szCs w:val="32"/>
        </w:rPr>
        <w:t>保障项目顺利实施。</w:t>
      </w:r>
    </w:p>
    <w:p w14:paraId="5A32F6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rPr>
      </w:pPr>
      <w:r>
        <w:rPr>
          <w:rFonts w:hint="eastAsia" w:ascii="楷体_GB2312" w:hAnsi="楷体_GB2312" w:eastAsia="楷体_GB2312" w:cs="楷体_GB2312"/>
          <w:b/>
          <w:bCs/>
          <w:sz w:val="32"/>
          <w:szCs w:val="32"/>
          <w:lang w:val="en-US"/>
        </w:rPr>
        <w:t>（六）施工管理</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b w:val="0"/>
          <w:bCs w:val="0"/>
          <w:i w:val="0"/>
          <w:iCs w:val="0"/>
          <w:color w:val="auto"/>
          <w:kern w:val="2"/>
          <w:sz w:val="32"/>
          <w:szCs w:val="32"/>
          <w:highlight w:val="none"/>
          <w:vertAlign w:val="baseline"/>
          <w:lang w:val="en-US" w:eastAsia="zh-CN"/>
        </w:rPr>
        <w:t>在施工管理环节中，要坚持质量为先的原则，实施全方位、多阶段的质量监管制度。确保每个施工阶段都经过严格的质量监管，并留存详尽的照片与记录，以此构建工程质量可追溯的坚实基础。个别项目必要时（技术管理难度大，乡村缺乏胜任技术管理力量有技术管理风险）可聘请专业监理单位。</w:t>
      </w:r>
    </w:p>
    <w:p w14:paraId="5C8CC8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rPr>
      </w:pPr>
      <w:r>
        <w:rPr>
          <w:rFonts w:hint="eastAsia" w:ascii="楷体_GB2312" w:hAnsi="楷体_GB2312" w:eastAsia="楷体_GB2312" w:cs="楷体_GB2312"/>
          <w:b/>
          <w:bCs/>
          <w:sz w:val="32"/>
          <w:szCs w:val="32"/>
          <w:lang w:val="en-US"/>
        </w:rPr>
        <w:t>（七）项目验收与绩效评估</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lang w:val="en-US"/>
        </w:rPr>
        <w:t>项目竣工后，乡镇应组织相关部门技术人员和乡村两级项目验收人员，组成验收组，依据项目方案、合同条款、监管记录及预期绩效目标，对项目进行全面、细致的验收。通过现场实地查看与资料复核，确保项目各项指标达标。对于验收不合格的项目，责令项目实施单位立即整改，整改完成后重新组织验收。</w:t>
      </w:r>
    </w:p>
    <w:p w14:paraId="6ACEC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rPr>
      </w:pPr>
      <w:r>
        <w:rPr>
          <w:rFonts w:hint="eastAsia" w:ascii="Times New Roman" w:hAnsi="Times New Roman" w:eastAsia="仿宋_GB2312" w:cs="仿宋_GB2312"/>
          <w:sz w:val="32"/>
          <w:szCs w:val="32"/>
          <w:lang w:val="en-US"/>
        </w:rPr>
        <w:t>验收范围要涵盖</w:t>
      </w:r>
      <w:r>
        <w:rPr>
          <w:rFonts w:hint="eastAsia" w:ascii="Times New Roman" w:hAnsi="Times New Roman" w:eastAsia="仿宋_GB2312" w:cs="仿宋_GB2312"/>
          <w:b w:val="0"/>
          <w:bCs w:val="0"/>
          <w:i w:val="0"/>
          <w:iCs w:val="0"/>
          <w:color w:val="auto"/>
          <w:kern w:val="2"/>
          <w:sz w:val="32"/>
          <w:szCs w:val="32"/>
          <w:highlight w:val="none"/>
          <w:vertAlign w:val="baseline"/>
          <w:lang w:val="en-US" w:eastAsia="zh-CN"/>
        </w:rPr>
        <w:t>管理程序的规范性、建设内容的完整性、责任划分的明确性、质量与安全的保障度、目标达成的有效性，以及议事主体的满意程度等多维度指标，确保项目评估的全面性和公正性。</w:t>
      </w:r>
    </w:p>
    <w:p w14:paraId="0CE4C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rPr>
        <w:t>验收合格后，乡镇需及时向财政部门提交核验申请，财政部门将对项目建设内容及绩效目标完成情况进行现场复核确认。</w:t>
      </w:r>
    </w:p>
    <w:p w14:paraId="16C35A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rPr>
      </w:pPr>
      <w:r>
        <w:rPr>
          <w:rFonts w:hint="eastAsia" w:ascii="楷体_GB2312" w:hAnsi="楷体_GB2312" w:eastAsia="楷体_GB2312" w:cs="楷体_GB2312"/>
          <w:b/>
          <w:bCs/>
          <w:sz w:val="32"/>
          <w:szCs w:val="32"/>
          <w:lang w:val="en-US" w:eastAsia="zh-CN"/>
        </w:rPr>
        <w:t>（八）项目结算评审。</w:t>
      </w:r>
      <w:r>
        <w:rPr>
          <w:rFonts w:hint="eastAsia" w:ascii="Times New Roman" w:hAnsi="Times New Roman" w:eastAsia="仿宋_GB2312" w:cs="仿宋_GB2312"/>
          <w:b w:val="0"/>
          <w:bCs w:val="0"/>
          <w:i w:val="0"/>
          <w:iCs w:val="0"/>
          <w:color w:val="auto"/>
          <w:kern w:val="2"/>
          <w:sz w:val="32"/>
          <w:szCs w:val="32"/>
          <w:highlight w:val="none"/>
          <w:vertAlign w:val="baseline"/>
          <w:lang w:val="en-US" w:eastAsia="zh-CN"/>
        </w:rPr>
        <w:t>经财政部门复核合格后的项目可以开展结算评审。项目结算评审工作由财政局</w:t>
      </w:r>
      <w:r>
        <w:rPr>
          <w:rFonts w:hint="eastAsia" w:ascii="Times New Roman" w:hAnsi="Times New Roman" w:eastAsia="仿宋_GB2312" w:cs="仿宋_GB2312"/>
          <w:b w:val="0"/>
          <w:bCs w:val="0"/>
          <w:i w:val="0"/>
          <w:iCs w:val="0"/>
          <w:color w:val="auto"/>
          <w:kern w:val="2"/>
          <w:sz w:val="32"/>
          <w:szCs w:val="32"/>
          <w:highlight w:val="none"/>
          <w:shd w:val="clear" w:color="auto" w:fill="auto"/>
          <w:vertAlign w:val="baseline"/>
          <w:lang w:val="en-US" w:eastAsia="zh-CN"/>
        </w:rPr>
        <w:t>按照《五原县人民政府办公室关于五原县进一步完善和规范政府投资建设项目工程价款结算审计工作的实施意见》（五政办发</w:t>
      </w:r>
      <w:r>
        <w:rPr>
          <w:rFonts w:hint="eastAsia" w:ascii="仿宋_GB2312" w:hAnsi="仿宋_GB2312" w:eastAsia="仿宋_GB2312" w:cs="仿宋_GB2312"/>
          <w:b w:val="0"/>
          <w:bCs w:val="0"/>
          <w:i w:val="0"/>
          <w:iCs w:val="0"/>
          <w:color w:val="auto"/>
          <w:kern w:val="2"/>
          <w:sz w:val="32"/>
          <w:szCs w:val="32"/>
          <w:highlight w:val="none"/>
          <w:shd w:val="clear" w:color="auto" w:fill="auto"/>
          <w:vertAlign w:val="baseline"/>
          <w:lang w:val="en-US" w:eastAsia="zh-CN"/>
        </w:rPr>
        <w:t>〔</w:t>
      </w:r>
      <w:r>
        <w:rPr>
          <w:rFonts w:hint="eastAsia" w:ascii="Times New Roman" w:hAnsi="Times New Roman" w:eastAsia="仿宋_GB2312" w:cs="仿宋_GB2312"/>
          <w:b w:val="0"/>
          <w:bCs w:val="0"/>
          <w:i w:val="0"/>
          <w:iCs w:val="0"/>
          <w:color w:val="auto"/>
          <w:kern w:val="2"/>
          <w:sz w:val="32"/>
          <w:szCs w:val="32"/>
          <w:highlight w:val="none"/>
          <w:shd w:val="clear" w:color="auto" w:fill="auto"/>
          <w:vertAlign w:val="baseline"/>
          <w:lang w:val="en-US" w:eastAsia="zh-CN"/>
        </w:rPr>
        <w:t>2020</w:t>
      </w:r>
      <w:r>
        <w:rPr>
          <w:rFonts w:hint="eastAsia" w:ascii="仿宋_GB2312" w:hAnsi="仿宋_GB2312" w:eastAsia="仿宋_GB2312" w:cs="仿宋_GB2312"/>
          <w:b w:val="0"/>
          <w:bCs w:val="0"/>
          <w:i w:val="0"/>
          <w:iCs w:val="0"/>
          <w:color w:val="auto"/>
          <w:kern w:val="2"/>
          <w:sz w:val="32"/>
          <w:szCs w:val="32"/>
          <w:highlight w:val="none"/>
          <w:shd w:val="clear" w:color="auto" w:fill="auto"/>
          <w:vertAlign w:val="baseline"/>
          <w:lang w:val="en-US" w:eastAsia="zh-CN"/>
        </w:rPr>
        <w:t>〕</w:t>
      </w:r>
      <w:r>
        <w:rPr>
          <w:rFonts w:hint="eastAsia" w:ascii="Times New Roman" w:hAnsi="Times New Roman" w:eastAsia="仿宋_GB2312" w:cs="仿宋_GB2312"/>
          <w:b w:val="0"/>
          <w:bCs w:val="0"/>
          <w:i w:val="0"/>
          <w:iCs w:val="0"/>
          <w:color w:val="auto"/>
          <w:kern w:val="2"/>
          <w:sz w:val="32"/>
          <w:szCs w:val="32"/>
          <w:highlight w:val="none"/>
          <w:shd w:val="clear" w:color="auto" w:fill="auto"/>
          <w:vertAlign w:val="baseline"/>
          <w:lang w:val="en-US" w:eastAsia="zh-CN"/>
        </w:rPr>
        <w:t>12号）组织开展评审复审，根据项目实际情况出具详细的评审报告，评审报告作为结算的依据。评审机构要保证评审过程中严格遵守工作纪律，共同维护项目结算评审的严肃性与权威性，确保评审结果公正、客观。财政局要委托县审计局对三方评审结果进行复审，复审结果作为对第三方评审机构工作评价和相关项目结算评审的重要依据。对于违规评审项目，财政部门将追回奖补资金，并协同住建、审计等部门依法依规处理相关责任方。违规的第三方评审机构将被扣减工作经费，列入黑名单，报告审计主管部门，禁止再次参与相</w:t>
      </w:r>
      <w:r>
        <w:rPr>
          <w:rFonts w:hint="eastAsia" w:ascii="Times New Roman" w:hAnsi="Times New Roman" w:eastAsia="仿宋_GB2312" w:cs="仿宋_GB2312"/>
          <w:b w:val="0"/>
          <w:bCs w:val="0"/>
          <w:i w:val="0"/>
          <w:iCs w:val="0"/>
          <w:color w:val="auto"/>
          <w:kern w:val="2"/>
          <w:sz w:val="32"/>
          <w:szCs w:val="32"/>
          <w:highlight w:val="none"/>
          <w:vertAlign w:val="baseline"/>
          <w:lang w:val="en-US" w:eastAsia="zh-CN"/>
        </w:rPr>
        <w:t>关领域工作等。</w:t>
      </w:r>
    </w:p>
    <w:p w14:paraId="29243E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rPr>
      </w:pPr>
      <w:r>
        <w:rPr>
          <w:rFonts w:hint="eastAsia" w:ascii="楷体_GB2312" w:hAnsi="楷体_GB2312" w:eastAsia="楷体_GB2312" w:cs="楷体_GB2312"/>
          <w:b/>
          <w:bCs/>
          <w:sz w:val="32"/>
          <w:szCs w:val="32"/>
          <w:lang w:val="en-US"/>
        </w:rPr>
        <w:t>（九）项目财务管理</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lang w:val="en-US"/>
        </w:rPr>
        <w:t>根据项目预算与进度，有序拨付财政奖补资金。依据验收结果、绩效评估和</w:t>
      </w:r>
      <w:r>
        <w:rPr>
          <w:rFonts w:hint="eastAsia" w:ascii="Times New Roman" w:hAnsi="Times New Roman" w:eastAsia="仿宋_GB2312" w:cs="仿宋_GB2312"/>
          <w:b w:val="0"/>
          <w:bCs w:val="0"/>
          <w:i w:val="0"/>
          <w:iCs w:val="0"/>
          <w:color w:val="auto"/>
          <w:kern w:val="2"/>
          <w:sz w:val="32"/>
          <w:szCs w:val="32"/>
          <w:highlight w:val="none"/>
          <w:vertAlign w:val="baseline"/>
          <w:lang w:val="en-US" w:eastAsia="zh-CN"/>
        </w:rPr>
        <w:t>结算评审</w:t>
      </w:r>
      <w:r>
        <w:rPr>
          <w:rFonts w:hint="eastAsia" w:ascii="Times New Roman" w:hAnsi="Times New Roman" w:eastAsia="仿宋_GB2312" w:cs="仿宋_GB2312"/>
          <w:sz w:val="32"/>
          <w:szCs w:val="32"/>
          <w:lang w:val="en-US"/>
        </w:rPr>
        <w:t>情况，进行财政奖补项目资金的最终结算。县财政实行以乡镇为单位的统一结算制度，结算奖补资金总额不超出批复乡镇额度。项目结算后，需编制决算表并按规定公示。</w:t>
      </w:r>
    </w:p>
    <w:p w14:paraId="2FAFA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rPr>
        <w:t>乡镇应设立项目专账，核算全部项目资金，设专人负责管理，确保账目清晰、手续完备、收支合规。与施工方结算项目资金时，需预留投资额5%作为项目质量保证金，质保期自项目验收合格之日起计算，为期一年。</w:t>
      </w:r>
    </w:p>
    <w:p w14:paraId="698ED2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rPr>
      </w:pPr>
      <w:r>
        <w:rPr>
          <w:rFonts w:hint="eastAsia" w:ascii="楷体_GB2312" w:hAnsi="楷体_GB2312" w:eastAsia="楷体_GB2312" w:cs="楷体_GB2312"/>
          <w:b/>
          <w:bCs/>
          <w:sz w:val="32"/>
          <w:szCs w:val="32"/>
          <w:lang w:val="en-US"/>
        </w:rPr>
        <w:t>（十）项目标识设立</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lang w:val="en-US"/>
        </w:rPr>
        <w:t>乡镇应督促施工方在项目建设中及时、规范设置项目标识。标识应与项目主体设施相协调，</w:t>
      </w:r>
      <w:r>
        <w:rPr>
          <w:rFonts w:hint="eastAsia" w:ascii="Times New Roman" w:hAnsi="Times New Roman" w:eastAsia="仿宋_GB2312" w:cs="仿宋_GB2312"/>
          <w:sz w:val="32"/>
          <w:szCs w:val="32"/>
          <w:highlight w:val="none"/>
          <w:lang w:val="en-US"/>
        </w:rPr>
        <w:t>若无法一体设置，各乡镇可统一制设，分项目计入项目投资成本</w:t>
      </w:r>
      <w:r>
        <w:rPr>
          <w:rFonts w:hint="eastAsia" w:ascii="Times New Roman" w:hAnsi="Times New Roman" w:eastAsia="仿宋_GB2312" w:cs="仿宋_GB2312"/>
          <w:sz w:val="32"/>
          <w:szCs w:val="32"/>
          <w:lang w:val="en-US"/>
        </w:rPr>
        <w:t>。标识上的项目名称必须与批复文件保持一致。</w:t>
      </w:r>
    </w:p>
    <w:p w14:paraId="18AFC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rPr>
      </w:pPr>
      <w:r>
        <w:rPr>
          <w:rFonts w:hint="eastAsia" w:ascii="楷体_GB2312" w:hAnsi="楷体_GB2312" w:eastAsia="楷体_GB2312" w:cs="楷体_GB2312"/>
          <w:b/>
          <w:bCs/>
          <w:sz w:val="32"/>
          <w:szCs w:val="32"/>
          <w:lang w:val="en-US"/>
        </w:rPr>
        <w:t>（十一）项目资产交接与管护责任</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lang w:val="en-US"/>
        </w:rPr>
        <w:t>项目验收合格后，应及时办理项目资产交接手续。在资产交接完成前，乡镇政府需承担项目管护责任；交接完成后，根据受益主体和产权归属确定管护主体，纳入三资管理平台统一管理，同步明确管护制度</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rPr>
        <w:t>落实管护责任。</w:t>
      </w:r>
    </w:p>
    <w:p w14:paraId="295892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rPr>
      </w:pPr>
      <w:r>
        <w:rPr>
          <w:rFonts w:hint="eastAsia" w:ascii="楷体_GB2312" w:hAnsi="楷体_GB2312" w:eastAsia="楷体_GB2312" w:cs="楷体_GB2312"/>
          <w:b/>
          <w:bCs/>
          <w:sz w:val="32"/>
          <w:szCs w:val="32"/>
          <w:lang w:val="en-US" w:eastAsia="zh-CN"/>
        </w:rPr>
        <w:t>（十二）</w:t>
      </w:r>
      <w:r>
        <w:rPr>
          <w:rFonts w:hint="eastAsia" w:ascii="楷体_GB2312" w:hAnsi="楷体_GB2312" w:eastAsia="楷体_GB2312" w:cs="楷体_GB2312"/>
          <w:b/>
          <w:bCs/>
          <w:sz w:val="32"/>
          <w:szCs w:val="32"/>
          <w:lang w:val="en-US"/>
        </w:rPr>
        <w:t>强化项目档案管理</w:t>
      </w:r>
      <w:r>
        <w:rPr>
          <w:rFonts w:hint="eastAsia"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lang w:val="en-US"/>
        </w:rPr>
        <w:t>财政局统一建立项目档案目录和表格模板，作为必备的档案保存要求。在此之外，管理人员认为有必要保存的重要项目资料也要一并归档。各乡镇要健全项目档案管理制度，规范项目档案的收集、整理、保管与利用工作，确保项目资料的规范性、完整性与可追溯性。档案归集完整后按要求向县财政复制报送纸质和电子档案。</w:t>
      </w:r>
    </w:p>
    <w:p w14:paraId="2E0D6450">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val="en-US"/>
        </w:rPr>
        <w:t>、系统动态同步管理</w:t>
      </w:r>
    </w:p>
    <w:p w14:paraId="6BEC8B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lang w:val="en-US"/>
        </w:rPr>
      </w:pPr>
      <w:r>
        <w:rPr>
          <w:rFonts w:hint="eastAsia" w:ascii="Times New Roman" w:hAnsi="Times New Roman" w:eastAsia="仿宋_GB2312" w:cs="仿宋_GB2312"/>
          <w:b w:val="0"/>
          <w:bCs w:val="0"/>
          <w:sz w:val="32"/>
          <w:szCs w:val="32"/>
          <w:lang w:val="en-US"/>
        </w:rPr>
        <w:t>按自治区项目管理系统动态管理要求，需要录入管理系统的各项资料</w:t>
      </w:r>
      <w:r>
        <w:rPr>
          <w:rFonts w:hint="eastAsia" w:ascii="Times New Roman" w:hAns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rPr>
        <w:t>各乡镇要分阶段</w:t>
      </w:r>
      <w:r>
        <w:rPr>
          <w:rFonts w:hint="eastAsia" w:ascii="Times New Roman" w:hAns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rPr>
        <w:t>按进度及时完成系统项目建设信息录入。</w:t>
      </w:r>
    </w:p>
    <w:p w14:paraId="0FDB72F4">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val="en-US"/>
        </w:rPr>
        <w:t>、项目管理经费</w:t>
      </w:r>
    </w:p>
    <w:p w14:paraId="6490F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rPr>
        <w:t>为确保项目管理工作顺利开展，县财政将从县级财政奖补资金预算中专项划拨项目管理经费，并按批复实施的项目数量（每个项目平均5000元）和绩效考核结果折算系数下达至各乡镇。该经费专项用于项目规划申报、查勘验收、档案管理、招投标、工程监理等必要的管理支出，严禁挪作他用。不合格项目不安排项目经费。</w:t>
      </w:r>
    </w:p>
    <w:p w14:paraId="26779F1A">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八、附则</w:t>
      </w:r>
    </w:p>
    <w:p w14:paraId="229FD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rPr>
        <w:t>本补充规定自发布之日起正式实施，其解释权归五原县财政局所有。各乡镇（</w:t>
      </w:r>
      <w:r>
        <w:rPr>
          <w:rFonts w:hint="eastAsia" w:ascii="Times New Roman" w:hAnsi="Times New Roman" w:eastAsia="仿宋_GB2312" w:cs="仿宋_GB2312"/>
          <w:sz w:val="32"/>
          <w:szCs w:val="32"/>
          <w:lang w:val="en-US" w:eastAsia="zh-CN"/>
        </w:rPr>
        <w:t>建沣农场</w:t>
      </w:r>
      <w:r>
        <w:rPr>
          <w:rFonts w:hint="eastAsia" w:ascii="Times New Roman" w:hAnsi="Times New Roman" w:eastAsia="仿宋_GB2312" w:cs="仿宋_GB2312"/>
          <w:sz w:val="32"/>
          <w:szCs w:val="32"/>
          <w:lang w:val="en-US"/>
        </w:rPr>
        <w:t>）在执行过程中如有疑问或建议，及时向县财政局反馈。</w:t>
      </w:r>
    </w:p>
    <w:p w14:paraId="53B09E16">
      <w:pPr>
        <w:pStyle w:val="2"/>
        <w:rPr>
          <w:rFonts w:hint="default"/>
          <w:lang w:val="en-US" w:eastAsia="zh-CN"/>
        </w:rPr>
      </w:pPr>
    </w:p>
    <w:p w14:paraId="4D853C12"/>
    <w:p w14:paraId="2BE29931"/>
    <w:p w14:paraId="55C43D4C"/>
    <w:p w14:paraId="0B4709ED"/>
    <w:p w14:paraId="7E837DBB"/>
    <w:p w14:paraId="607CDE67"/>
    <w:p w14:paraId="1B968343"/>
    <w:p w14:paraId="62713C2C"/>
    <w:p w14:paraId="3BB0FDDE"/>
    <w:p w14:paraId="39F69053"/>
    <w:p w14:paraId="051CF69D"/>
    <w:p w14:paraId="698807A3"/>
    <w:p w14:paraId="6F252CE8"/>
    <w:sectPr>
      <w:pgSz w:w="11906" w:h="16838"/>
      <w:pgMar w:top="2098" w:right="1474"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NTQ3MWU3ODY2NTBjZGQ0MmZlZTU4OWIxNzU1YjAifQ=="/>
  </w:docVars>
  <w:rsids>
    <w:rsidRoot w:val="4E48034A"/>
    <w:rsid w:val="08AE1692"/>
    <w:rsid w:val="26955359"/>
    <w:rsid w:val="3CEA63BE"/>
    <w:rsid w:val="4E48034A"/>
    <w:rsid w:val="528F41B5"/>
    <w:rsid w:val="68C01A4A"/>
    <w:rsid w:val="71E5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3">
    <w:name w:val="caption"/>
    <w:basedOn w:val="1"/>
    <w:next w:val="1"/>
    <w:semiHidden/>
    <w:unhideWhenUsed/>
    <w:qFormat/>
    <w:uiPriority w:val="0"/>
    <w:rPr>
      <w:rFonts w:ascii="Arial" w:hAnsi="Arial" w:eastAsia="黑体"/>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3186</Words>
  <Characters>3204</Characters>
  <Lines>0</Lines>
  <Paragraphs>0</Paragraphs>
  <TotalTime>0</TotalTime>
  <ScaleCrop>false</ScaleCrop>
  <LinksUpToDate>false</LinksUpToDate>
  <CharactersWithSpaces>3208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2024-09-25T02:49:00Z</dcterms:created>
  <dc:creator>馨</dc:creator>
  <cp:lastModifiedBy>馨</cp:lastModifiedBy>
  <dcterms:modified xsi:type="dcterms:W3CDTF">2024-09-25T03:06:20Z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6B3221496201444F858D1222789D3A04_11</vt:lpwstr>
  </property>
</Properties>
</file>