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both"/>
        <w:rPr>
          <w:rStyle w:val="6"/>
          <w:rFonts w:ascii="方正小标宋简体" w:hAnsi="方正小标宋简体" w:eastAsia="方正小标宋简体" w:cs="方正小标宋简体"/>
          <w:color w:val="333333"/>
          <w:spacing w:val="8"/>
          <w:sz w:val="32"/>
          <w:szCs w:val="32"/>
        </w:rPr>
      </w:pPr>
    </w:p>
    <w:p>
      <w:pPr>
        <w:pStyle w:val="3"/>
        <w:shd w:val="clear" w:color="auto" w:fill="FFFFFF"/>
        <w:spacing w:before="0" w:beforeAutospacing="0" w:after="0" w:afterAutospacing="0"/>
        <w:ind w:firstLine="480"/>
        <w:jc w:val="center"/>
        <w:rPr>
          <w:rFonts w:ascii="黑体" w:hAnsi="黑体" w:eastAsia="黑体" w:cs="黑体"/>
          <w:b/>
          <w:bCs/>
          <w:color w:val="333333"/>
          <w:spacing w:val="8"/>
          <w:sz w:val="44"/>
          <w:szCs w:val="44"/>
        </w:rPr>
      </w:pPr>
      <w:r>
        <w:rPr>
          <w:rStyle w:val="6"/>
          <w:rFonts w:hint="eastAsia" w:ascii="黑体" w:hAnsi="黑体" w:eastAsia="黑体" w:cs="黑体"/>
          <w:color w:val="333333"/>
          <w:spacing w:val="8"/>
          <w:sz w:val="44"/>
          <w:szCs w:val="44"/>
        </w:rPr>
        <w:t>五原县市场监管领域部门联合</w:t>
      </w:r>
    </w:p>
    <w:p>
      <w:pPr>
        <w:pStyle w:val="3"/>
        <w:shd w:val="clear" w:color="auto" w:fill="FFFFFF"/>
        <w:spacing w:before="0" w:beforeAutospacing="0" w:after="0" w:afterAutospacing="0"/>
        <w:ind w:firstLine="480"/>
        <w:jc w:val="center"/>
        <w:rPr>
          <w:rFonts w:ascii="黑体" w:hAnsi="黑体" w:eastAsia="黑体" w:cs="黑体"/>
          <w:b/>
          <w:bCs/>
          <w:color w:val="333333"/>
          <w:spacing w:val="8"/>
          <w:sz w:val="44"/>
          <w:szCs w:val="44"/>
        </w:rPr>
      </w:pPr>
      <w:r>
        <w:rPr>
          <w:rStyle w:val="6"/>
          <w:rFonts w:hint="eastAsia" w:ascii="黑体" w:hAnsi="黑体" w:eastAsia="黑体" w:cs="黑体"/>
          <w:color w:val="333333"/>
          <w:spacing w:val="8"/>
          <w:sz w:val="44"/>
          <w:szCs w:val="44"/>
        </w:rPr>
        <w:t>“双随机、一公开”监管实施办法</w:t>
      </w:r>
    </w:p>
    <w:p>
      <w:pPr>
        <w:pStyle w:val="3"/>
        <w:shd w:val="clear" w:color="auto" w:fill="FFFFFF"/>
        <w:spacing w:before="0" w:beforeAutospacing="0" w:after="0" w:afterAutospacing="0" w:line="560" w:lineRule="exact"/>
        <w:ind w:firstLine="480"/>
        <w:jc w:val="center"/>
        <w:rPr>
          <w:rFonts w:ascii="仿宋_GB2312" w:hAnsi="仿宋_GB2312" w:eastAsia="仿宋_GB2312" w:cs="仿宋_GB2312"/>
          <w:color w:val="333333"/>
          <w:spacing w:val="8"/>
          <w:sz w:val="32"/>
          <w:szCs w:val="32"/>
        </w:rPr>
      </w:pPr>
    </w:p>
    <w:p>
      <w:pPr>
        <w:pStyle w:val="3"/>
        <w:shd w:val="clear" w:color="auto" w:fill="FFFFFF"/>
        <w:spacing w:before="0" w:beforeAutospacing="0" w:after="0" w:afterAutospacing="0" w:line="560" w:lineRule="exact"/>
        <w:ind w:firstLine="480"/>
        <w:jc w:val="center"/>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第一章</w:t>
      </w:r>
      <w:r>
        <w:rPr>
          <w:rStyle w:val="6"/>
          <w:rFonts w:hint="eastAsia" w:ascii="仿宋_GB2312" w:hAnsi="仿宋_GB2312" w:eastAsia="仿宋_GB2312" w:cs="仿宋_GB2312"/>
          <w:color w:val="333333"/>
          <w:spacing w:val="8"/>
          <w:sz w:val="32"/>
          <w:szCs w:val="32"/>
          <w:lang w:val="en-US" w:eastAsia="zh-CN"/>
        </w:rPr>
        <w:t xml:space="preserve">   </w:t>
      </w:r>
      <w:r>
        <w:rPr>
          <w:rStyle w:val="6"/>
          <w:rFonts w:hint="eastAsia" w:ascii="仿宋_GB2312" w:hAnsi="仿宋_GB2312" w:eastAsia="仿宋_GB2312" w:cs="仿宋_GB2312"/>
          <w:color w:val="333333"/>
          <w:spacing w:val="8"/>
          <w:sz w:val="32"/>
          <w:szCs w:val="32"/>
        </w:rPr>
        <w:t>总</w:t>
      </w:r>
      <w:r>
        <w:rPr>
          <w:rStyle w:val="6"/>
          <w:rFonts w:hint="eastAsia" w:ascii="仿宋_GB2312" w:hAnsi="仿宋_GB2312" w:eastAsia="仿宋_GB2312" w:cs="仿宋_GB2312"/>
          <w:color w:val="333333"/>
          <w:spacing w:val="8"/>
          <w:sz w:val="32"/>
          <w:szCs w:val="32"/>
          <w:lang w:val="en-US" w:eastAsia="zh-CN"/>
        </w:rPr>
        <w:t xml:space="preserve">  </w:t>
      </w:r>
      <w:r>
        <w:rPr>
          <w:rStyle w:val="6"/>
          <w:rFonts w:hint="eastAsia" w:ascii="仿宋_GB2312" w:hAnsi="仿宋_GB2312" w:eastAsia="仿宋_GB2312" w:cs="仿宋_GB2312"/>
          <w:color w:val="333333"/>
          <w:spacing w:val="8"/>
          <w:sz w:val="32"/>
          <w:szCs w:val="32"/>
        </w:rPr>
        <w:t>则</w:t>
      </w:r>
    </w:p>
    <w:p>
      <w:pPr>
        <w:pStyle w:val="3"/>
        <w:shd w:val="clear" w:color="auto" w:fill="FFFFFF"/>
        <w:spacing w:before="0" w:beforeAutospacing="0" w:after="0" w:afterAutospacing="0" w:line="560" w:lineRule="exact"/>
        <w:ind w:firstLine="480"/>
        <w:jc w:val="center"/>
        <w:rPr>
          <w:rFonts w:ascii="仿宋_GB2312" w:hAnsi="仿宋_GB2312" w:eastAsia="仿宋_GB2312" w:cs="仿宋_GB2312"/>
          <w:color w:val="333333"/>
          <w:spacing w:val="8"/>
          <w:sz w:val="32"/>
          <w:szCs w:val="32"/>
        </w:rPr>
      </w:pP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第一条</w:t>
      </w:r>
      <w:r>
        <w:rPr>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根据《国务院关于在市场监管领域全面推行部门联合“双随机、一公开”监管的意见》</w:t>
      </w:r>
      <w:r>
        <w:rPr>
          <w:rFonts w:ascii="仿宋_GB2312" w:hAnsi="仿宋_GB2312" w:eastAsia="仿宋_GB2312" w:cs="仿宋_GB2312"/>
          <w:color w:val="333333"/>
          <w:spacing w:val="8"/>
          <w:sz w:val="32"/>
          <w:szCs w:val="32"/>
        </w:rPr>
        <w:t>(</w:t>
      </w:r>
      <w:r>
        <w:rPr>
          <w:rFonts w:hint="eastAsia" w:ascii="仿宋_GB2312" w:hAnsi="仿宋_GB2312" w:eastAsia="仿宋_GB2312" w:cs="仿宋_GB2312"/>
          <w:color w:val="333333"/>
          <w:spacing w:val="8"/>
          <w:sz w:val="32"/>
          <w:szCs w:val="32"/>
        </w:rPr>
        <w:t>国发〔</w:t>
      </w:r>
      <w:r>
        <w:rPr>
          <w:rFonts w:ascii="仿宋_GB2312" w:hAnsi="仿宋_GB2312" w:eastAsia="仿宋_GB2312" w:cs="仿宋_GB2312"/>
          <w:color w:val="333333"/>
          <w:spacing w:val="8"/>
          <w:sz w:val="32"/>
          <w:szCs w:val="32"/>
        </w:rPr>
        <w:t>2019</w:t>
      </w:r>
      <w:r>
        <w:rPr>
          <w:rFonts w:hint="eastAsia" w:ascii="仿宋_GB2312" w:hAnsi="仿宋_GB2312" w:eastAsia="仿宋_GB2312" w:cs="仿宋_GB2312"/>
          <w:color w:val="333333"/>
          <w:spacing w:val="8"/>
          <w:sz w:val="32"/>
          <w:szCs w:val="32"/>
        </w:rPr>
        <w:t>〕</w:t>
      </w:r>
      <w:r>
        <w:rPr>
          <w:rFonts w:ascii="仿宋_GB2312" w:hAnsi="仿宋_GB2312" w:eastAsia="仿宋_GB2312" w:cs="仿宋_GB2312"/>
          <w:color w:val="333333"/>
          <w:spacing w:val="8"/>
          <w:sz w:val="32"/>
          <w:szCs w:val="32"/>
        </w:rPr>
        <w:t>5</w:t>
      </w:r>
      <w:r>
        <w:rPr>
          <w:rFonts w:hint="eastAsia" w:ascii="仿宋_GB2312" w:hAnsi="仿宋_GB2312" w:eastAsia="仿宋_GB2312" w:cs="仿宋_GB2312"/>
          <w:color w:val="333333"/>
          <w:spacing w:val="8"/>
          <w:sz w:val="32"/>
          <w:szCs w:val="32"/>
        </w:rPr>
        <w:t>号</w:t>
      </w:r>
      <w:r>
        <w:rPr>
          <w:rFonts w:ascii="仿宋_GB2312" w:hAnsi="仿宋_GB2312" w:eastAsia="仿宋_GB2312" w:cs="仿宋_GB2312"/>
          <w:color w:val="333333"/>
          <w:spacing w:val="8"/>
          <w:sz w:val="32"/>
          <w:szCs w:val="32"/>
        </w:rPr>
        <w:t>)</w:t>
      </w:r>
      <w:r>
        <w:rPr>
          <w:rFonts w:hint="eastAsia" w:ascii="仿宋_GB2312" w:hAnsi="仿宋_GB2312" w:eastAsia="仿宋_GB2312" w:cs="仿宋_GB2312"/>
          <w:color w:val="333333"/>
          <w:spacing w:val="8"/>
          <w:sz w:val="32"/>
          <w:szCs w:val="32"/>
        </w:rPr>
        <w:t>以及内蒙古自治区人民政府关于印发《内蒙古自治区市场监管领域部门联合“双随机、一公开”监管实施办法》的通知（内政发〔</w:t>
      </w:r>
      <w:r>
        <w:rPr>
          <w:rFonts w:ascii="仿宋_GB2312" w:hAnsi="仿宋_GB2312" w:eastAsia="仿宋_GB2312" w:cs="仿宋_GB2312"/>
          <w:color w:val="333333"/>
          <w:spacing w:val="8"/>
          <w:sz w:val="32"/>
          <w:szCs w:val="32"/>
        </w:rPr>
        <w:t>2019</w:t>
      </w:r>
      <w:r>
        <w:rPr>
          <w:rFonts w:hint="eastAsia" w:ascii="仿宋_GB2312" w:hAnsi="仿宋_GB2312" w:eastAsia="仿宋_GB2312" w:cs="仿宋_GB2312"/>
          <w:color w:val="333333"/>
          <w:spacing w:val="8"/>
          <w:sz w:val="32"/>
          <w:szCs w:val="32"/>
        </w:rPr>
        <w:t>〕</w:t>
      </w:r>
      <w:r>
        <w:rPr>
          <w:rFonts w:ascii="仿宋_GB2312" w:hAnsi="仿宋_GB2312" w:eastAsia="仿宋_GB2312" w:cs="仿宋_GB2312"/>
          <w:color w:val="333333"/>
          <w:spacing w:val="8"/>
          <w:sz w:val="32"/>
          <w:szCs w:val="32"/>
        </w:rPr>
        <w:t>10</w:t>
      </w:r>
      <w:r>
        <w:rPr>
          <w:rFonts w:hint="eastAsia" w:ascii="仿宋_GB2312" w:hAnsi="仿宋_GB2312" w:eastAsia="仿宋_GB2312" w:cs="仿宋_GB2312"/>
          <w:color w:val="333333"/>
          <w:spacing w:val="8"/>
          <w:sz w:val="32"/>
          <w:szCs w:val="32"/>
        </w:rPr>
        <w:t>号）等有关文件精神，为全面推行“双随机、一公开”监管机制，加快政府职能转变，优化营商环境，结合五原县实际，制定本办法。</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第二条</w:t>
      </w:r>
      <w:r>
        <w:rPr>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五原县行政区域内市场监管领域承担监管职能的部门实施部门联合“双随机、一公开”监管适用本办法。</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对特殊重点领域，国务院、国家有关部委和自治区人民政府有明确要求的，通过投诉举报、转办交办、数据监测等发现的违法违规个案线索，其他部门移送的案件线索，以及其他法律法规有特别规定，需要实施专项检查的，不适用本办法。</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第三条</w:t>
      </w:r>
      <w:r>
        <w:rPr>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本办法所称部门联合“双随机、一公开”监管，是指市场监管领域承担监管职能的部门按照“双随机、一公开”监管工作要求，统筹制定联合抽查工作计划，依法制定联合抽查事项清单，在检查对象名录库中随机抽取一定比例的被检查对象，在执法检查人员名录库中随机选派执法检查人员，由多个部门对随机抽取到的同一被检查对象的多个检查事项，原则上一次性完成检查，及时公示抽查检查结果的市场监管行为。</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第四条</w:t>
      </w:r>
      <w:r>
        <w:rPr>
          <w:rStyle w:val="6"/>
          <w:rFonts w:ascii="仿宋_GB2312" w:hAnsi="仿宋_GB2312" w:eastAsia="仿宋_GB2312" w:cs="仿宋_GB2312"/>
          <w:color w:val="333333"/>
          <w:spacing w:val="8"/>
          <w:sz w:val="32"/>
          <w:szCs w:val="32"/>
        </w:rPr>
        <w:t> </w:t>
      </w:r>
      <w:r>
        <w:rPr>
          <w:rStyle w:val="9"/>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“双随机、一公开”监管应坚持依法实施、公平公正、公开透明、高效便民的原则。</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第五条</w:t>
      </w:r>
      <w:r>
        <w:rPr>
          <w:rFonts w:ascii="仿宋_GB2312" w:hAnsi="仿宋_GB2312" w:eastAsia="仿宋_GB2312" w:cs="仿宋_GB2312"/>
          <w:color w:val="333333"/>
          <w:spacing w:val="8"/>
          <w:sz w:val="32"/>
          <w:szCs w:val="32"/>
        </w:rPr>
        <w:t xml:space="preserve">  </w:t>
      </w:r>
      <w:r>
        <w:fldChar w:fldCharType="begin"/>
      </w:r>
      <w:r>
        <w:instrText xml:space="preserve"> HYPERLINK "http://59.196.244.10:100/blspLicense/javascript:goToLogin('%E4%B9%8C%E6%8B%89%E7%89%B9%E4%B8%AD%E6%97%97%E5%B8%82%E5%9C%BA%E7%9B%91%E7%9D%A3%E7%AE%A1%E7%90%86%E5%B1%80');" </w:instrText>
      </w:r>
      <w:r>
        <w:fldChar w:fldCharType="separate"/>
      </w:r>
      <w:r>
        <w:rPr>
          <w:rFonts w:hint="eastAsia" w:ascii="仿宋_GB2312" w:hAnsi="仿宋_GB2312" w:eastAsia="仿宋_GB2312" w:cs="仿宋_GB2312"/>
          <w:sz w:val="32"/>
          <w:szCs w:val="32"/>
        </w:rPr>
        <w:t>市场监管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"http://59.196.244.10:100/blspLicense/javascript:goToLogin('%E5%86%85%E8%92%99%E5%8F%A4%E8%87%AA%E6%B2%BB%E5%8C%BA%E4%B9%8C%E6%8B%89%E7%89%B9%E4%B8%AD%E6%97%97%E6%B0%94%E8%B1%A1%E5%B1%80');" </w:instrText>
      </w:r>
      <w:r>
        <w:fldChar w:fldCharType="separate"/>
      </w:r>
      <w:r>
        <w:rPr>
          <w:rFonts w:hint="eastAsia" w:ascii="仿宋_GB2312" w:hAnsi="仿宋_GB2312" w:eastAsia="仿宋_GB2312" w:cs="仿宋_GB2312"/>
          <w:sz w:val="32"/>
          <w:szCs w:val="32"/>
        </w:rPr>
        <w:t>气象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"http://59.196.244.10:100/blspLicense/javascript:goToLogin('%E4%B9%8C%E6%8B%89%E7%89%B9%E4%B8%AD%E6%97%97%E5%BA%94%E6%80%A5%E7%AE%A1%E7%90%86%E5%B1%80');" </w:instrText>
      </w:r>
      <w:r>
        <w:fldChar w:fldCharType="separate"/>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"http://59.196.244.10:100/blspLicense/javascript:goToLogin('%E4%B9%8C%E6%8B%89%E7%89%B9%E4%B8%AD%E6%97%97%E8%87%AA%E7%84%B6%E8%B5%84%E6%BA%90%E5%B1%80');" </w:instrText>
      </w:r>
      <w:r>
        <w:fldChar w:fldCharType="separate"/>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"http://59.196.244.10:100/blspLicense/javascript:goToLogin('%E5%B7%B4%E5%BD%A6%E6%B7%96%E5%B0%94%E5%B8%82%E4%B9%8C%E6%8B%89%E7%89%B9%E4%B8%AD%E6%97%97%E6%B0%91%E6%94%BF%E5%B1%80');" </w:instrText>
      </w:r>
      <w:r>
        <w:fldChar w:fldCharType="separate"/>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"http://59.196.244.10:100/blspLicense/javascript:goToLogin('%E5%B7%B4%E5%BD%A6%E6%B7%96%E5%B0%94%E5%B8%82%E4%B9%8C%E6%8B%89%E7%89%B9%E4%B8%AD%E6%97%97%E8%B4%A2%E6%94%BF%E5%B1%80');" </w:instrText>
      </w:r>
      <w:r>
        <w:fldChar w:fldCharType="separate"/>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rPr>
        <w:fldChar w:fldCharType="end"/>
      </w:r>
      <w:r>
        <w:fldChar w:fldCharType="begin"/>
      </w:r>
      <w:r>
        <w:instrText xml:space="preserve"> HYPERLINK "http://59.196.244.10:100/blspLicense/javascript:goToLogin('%E4%B9%8C%E6%8B%89%E7%89%B9%E4%B8%AD%E6%97%97%E5%8F%91%E5%B1%95%E5%92%8C%E6%94%B9%E9%9D%A9%E5%A7%94%E5%91%98%E4%BC%9A');" </w:instrText>
      </w:r>
      <w:r>
        <w:fldChar w:fldCharType="separate"/>
      </w:r>
      <w:r>
        <w:rPr>
          <w:rFonts w:hint="eastAsia" w:ascii="仿宋_GB2312" w:hAnsi="仿宋_GB2312" w:eastAsia="仿宋_GB2312" w:cs="仿宋_GB2312"/>
          <w:sz w:val="32"/>
          <w:szCs w:val="32"/>
        </w:rPr>
        <w:t>发展和改革</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"http://59.196.244.10:100/blspLicense/javascript:goToLogin('%E5%B7%B4%E5%BD%A6%E6%B7%96%E5%B0%94%E5%B8%82%E4%B9%8C%E6%8B%89%E7%89%B9%E4%B8%AD%E6%97%97%E4%BA%BA%E5%8A%9B%E8%B5%84%E6%BA%90%E7%A4%BE%E4%BC%9A%E4%BF%9D%E9%9A%9C%E5%B1%80');" </w:instrText>
      </w:r>
      <w:r>
        <w:fldChar w:fldCharType="separate"/>
      </w:r>
      <w:r>
        <w:rPr>
          <w:rFonts w:hint="eastAsia" w:ascii="仿宋_GB2312" w:hAnsi="仿宋_GB2312" w:eastAsia="仿宋_GB2312" w:cs="仿宋_GB2312"/>
          <w:sz w:val="32"/>
          <w:szCs w:val="32"/>
        </w:rPr>
        <w:t>人力资源社会保障</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"http://59.196.244.10:100/blspLicense/javascript:goToLogin('%E4%B9%8C%E6%8B%89%E7%89%B9%E4%B8%AD%E6%97%97%E6%95%99%E8%82%B2%E5%B1%80');" </w:instrText>
      </w:r>
      <w:r>
        <w:fldChar w:fldCharType="separate"/>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"http://59.196.244.10:100/blspLicense/javascript:goToLogin('%E4%B9%8C%E6%8B%89%E7%89%B9%E4%B8%AD%E6%97%97%E6%96%87%E4%BD%93%E6%97%85%E6%B8%B8%E5%B9%BF%E7%94%B5%E5%B1%80');" </w:instrText>
      </w:r>
      <w:r>
        <w:fldChar w:fldCharType="separate"/>
      </w:r>
      <w:r>
        <w:rPr>
          <w:rFonts w:hint="eastAsia" w:ascii="仿宋_GB2312" w:hAnsi="仿宋_GB2312" w:eastAsia="仿宋_GB2312" w:cs="仿宋_GB2312"/>
          <w:sz w:val="32"/>
          <w:szCs w:val="32"/>
        </w:rPr>
        <w:t>文体旅游广电</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"http://59.196.244.10:100/blspLicense/javascript:goToLogin('%E4%B9%8C%E6%8B%89%E7%89%B9%E4%B8%AD%E6%97%97%E5%8D%AB%E7%94%9F%E5%81%A5%E5%BA%B7%E5%A7%94%E5%91%98%E4%BC%9A');" </w:instrText>
      </w:r>
      <w:r>
        <w:fldChar w:fldCharType="separate"/>
      </w: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"http://59.196.244.10:100/blspLicense/javascript:goToLogin('%E4%B9%8C%E6%8B%89%E7%89%B9%E4%B8%AD%E6%97%97%E4%BD%8F%E6%88%BF%E5%92%8C%E5%9F%8E%E4%B9%A1%E5%BB%BA%E8%AE%BE%E5%B1%80');" </w:instrText>
      </w:r>
      <w:r>
        <w:fldChar w:fldCharType="separate"/>
      </w:r>
      <w:r>
        <w:rPr>
          <w:rFonts w:hint="eastAsia" w:ascii="仿宋_GB2312" w:hAnsi="仿宋_GB2312" w:eastAsia="仿宋_GB2312" w:cs="仿宋_GB2312"/>
          <w:sz w:val="32"/>
          <w:szCs w:val="32"/>
        </w:rPr>
        <w:t>住建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"http://59.196.244.10:100/blspLicense/javascript:goToLogin('%E5%B7%B4%E5%BD%A6%E6%B7%96%E5%B0%94%E5%B8%82%E4%B9%8C%E6%8B%89%E7%89%B9%E4%B8%AD%E6%97%97%E4%BA%A4%E9%80%9A%E8%BF%90%E8%BE%93%E5%B1%80');" </w:instrText>
      </w:r>
      <w:r>
        <w:fldChar w:fldCharType="separate"/>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rPr>
        <w:fldChar w:fldCharType="end"/>
      </w:r>
      <w:r>
        <w:fldChar w:fldCharType="begin"/>
      </w:r>
      <w:r>
        <w:instrText xml:space="preserve"> HYPERLINK "http://59.196.244.10:100/blspLicense/javascript:goToLogin('%E4%B9%8C%E6%8B%89%E7%89%B9%E4%B8%AD%E6%97%97%E6%B0%B4%E5%88%A9%E5%B1%80');" </w:instrText>
      </w:r>
      <w:r>
        <w:fldChar w:fldCharType="separate"/>
      </w:r>
      <w:r>
        <w:rPr>
          <w:rFonts w:hint="eastAsia" w:ascii="仿宋_GB2312" w:hAnsi="仿宋_GB2312" w:eastAsia="仿宋_GB2312" w:cs="仿宋_GB2312"/>
          <w:sz w:val="32"/>
          <w:szCs w:val="32"/>
        </w:rPr>
        <w:t>水利</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"http://59.196.244.10:100/blspLicense/javascript:goToLogin('%E5%B7%B4%E5%BD%A6%E6%B7%96%E5%B0%94%E5%B8%82%E4%B9%8C%E6%8B%89%E7%89%B9%E4%B8%AD%E6%97%97%E5%AE%A1%E8%AE%A1%E5%B1%80');" </w:instrText>
      </w:r>
      <w:r>
        <w:fldChar w:fldCharType="separate"/>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fldChar w:fldCharType="end"/>
      </w:r>
      <w:r>
        <w:fldChar w:fldCharType="begin"/>
      </w:r>
      <w:r>
        <w:instrText xml:space="preserve"> HYPERLINK "http://59.196.244.10:100/blspLicense/javascript:goToLogin('%E5%B7%B4%E5%BD%A6%E6%B7%96%E5%B0%94%E5%B8%82%E4%B9%8C%E6%8B%89%E7%89%B9%E4%B8%AD%E6%97%97%E7%BB%9F%E8%AE%A1%E5%B1%80');" </w:instrText>
      </w:r>
      <w:r>
        <w:fldChar w:fldCharType="separate"/>
      </w:r>
      <w:r>
        <w:rPr>
          <w:rFonts w:hint="eastAsia" w:ascii="仿宋_GB2312" w:hAnsi="仿宋_GB2312" w:eastAsia="仿宋_GB2312" w:cs="仿宋_GB2312"/>
          <w:sz w:val="32"/>
          <w:szCs w:val="32"/>
        </w:rPr>
        <w:t>统计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"http://59.196.244.10:100/blspLicense/javascript:goToLogin('%E5%B7%B4%E5%BD%A6%E6%B7%96%E5%B0%94%E5%B8%82%E4%B9%8C%E6%8B%89%E7%89%B9%E4%B8%AD%E6%97%97%E5%85%AC%E5%AE%89%E5%B1%80');" </w:instrText>
      </w:r>
      <w:r>
        <w:fldChar w:fldCharType="separate"/>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rPr>
        <w:fldChar w:fldCharType="end"/>
      </w:r>
      <w:r>
        <w:fldChar w:fldCharType="begin"/>
      </w:r>
      <w:r>
        <w:instrText xml:space="preserve"> HYPERLINK "http://59.196.244.10:100/blspLicense/javascript:goToLogin('%E5%B7%B4%E5%BD%A6%E6%B7%96%E5%B0%94%E5%B8%82%E4%B9%8C%E6%8B%89%E7%89%B9%E4%B8%AD%E6%97%97%E5%8F%B8%E6%B3%95%E5%B1%80');" </w:instrText>
      </w:r>
      <w:r>
        <w:fldChar w:fldCharType="separate"/>
      </w:r>
      <w:r>
        <w:rPr>
          <w:rFonts w:hint="eastAsia" w:ascii="仿宋_GB2312" w:hAnsi="仿宋_GB2312" w:eastAsia="仿宋_GB2312" w:cs="仿宋_GB2312"/>
          <w:sz w:val="32"/>
          <w:szCs w:val="32"/>
        </w:rPr>
        <w:t>司法、</w:t>
      </w:r>
      <w:r>
        <w:rPr>
          <w:rFonts w:hint="eastAsia" w:ascii="仿宋_GB2312" w:hAnsi="仿宋_GB2312" w:eastAsia="仿宋_GB2312" w:cs="仿宋_GB2312"/>
          <w:sz w:val="32"/>
          <w:szCs w:val="32"/>
        </w:rPr>
        <w:fldChar w:fldCharType="end"/>
      </w:r>
      <w:r>
        <w:fldChar w:fldCharType="begin"/>
      </w:r>
      <w:r>
        <w:instrText xml:space="preserve"> HYPERLINK "http://59.196.244.10:100/blspLicense/javascript:goToLogin('%E4%B9%8C%E6%8B%89%E7%89%B9%E4%B8%AD%E6%97%97%E5%86%9C%E7%89%A7%E5%92%8C%E7%A7%91%E6%8A%80%E5%B1%80');" </w:instrText>
      </w:r>
      <w:r>
        <w:fldChar w:fldCharType="separate"/>
      </w:r>
      <w:r>
        <w:rPr>
          <w:rFonts w:hint="eastAsia" w:ascii="仿宋_GB2312" w:hAnsi="仿宋_GB2312" w:eastAsia="仿宋_GB2312" w:cs="仿宋_GB2312"/>
          <w:sz w:val="32"/>
          <w:szCs w:val="32"/>
        </w:rPr>
        <w:t>农牧和科技</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"http://59.196.244.10:100/blspLicense/javascript:goToLogin('%E4%B9%8C%E6%8B%89%E7%89%B9%E4%B8%AD%E6%97%97%E6%9E%97%E4%B8%9A%E5%92%8C%E8%8D%89%E5%8E%9F%E5%B1%80');" </w:instrText>
      </w:r>
      <w:r>
        <w:fldChar w:fldCharType="separate"/>
      </w:r>
      <w:r>
        <w:rPr>
          <w:rFonts w:hint="eastAsia" w:ascii="仿宋_GB2312" w:hAnsi="仿宋_GB2312" w:eastAsia="仿宋_GB2312" w:cs="仿宋_GB2312"/>
          <w:sz w:val="32"/>
          <w:szCs w:val="32"/>
        </w:rPr>
        <w:t>林业和草原、</w:t>
      </w:r>
      <w:r>
        <w:rPr>
          <w:rFonts w:hint="eastAsia" w:ascii="仿宋_GB2312" w:hAnsi="仿宋_GB2312" w:eastAsia="仿宋_GB2312" w:cs="仿宋_GB2312"/>
          <w:sz w:val="32"/>
          <w:szCs w:val="32"/>
        </w:rPr>
        <w:fldChar w:fldCharType="end"/>
      </w:r>
      <w:r>
        <w:fldChar w:fldCharType="begin"/>
      </w:r>
      <w:r>
        <w:instrText xml:space="preserve"> HYPERLINK "http://59.196.244.10:100/blspLicense/javascript:goToLogin('%E5%B7%B4%E5%BD%A6%E6%B7%96%E5%B0%94%E5%B8%82%E4%B9%8C%E6%8B%89%E7%89%B9%E4%B8%AD%E6%97%97%E7%8E%AF%E5%A2%83%E4%BF%9D%E6%8A%A4%E5%B1%80');" </w:instrText>
      </w:r>
      <w:r>
        <w:fldChar w:fldCharType="separate"/>
      </w:r>
      <w:r>
        <w:rPr>
          <w:rFonts w:hint="eastAsia" w:ascii="仿宋_GB2312" w:hAnsi="仿宋_GB2312" w:eastAsia="仿宋_GB2312" w:cs="仿宋_GB2312"/>
          <w:sz w:val="32"/>
          <w:szCs w:val="32"/>
        </w:rPr>
        <w:t>环境保护、</w:t>
      </w:r>
      <w:r>
        <w:rPr>
          <w:rFonts w:hint="eastAsia" w:ascii="仿宋_GB2312" w:hAnsi="仿宋_GB2312" w:eastAsia="仿宋_GB2312" w:cs="仿宋_GB2312"/>
          <w:sz w:val="32"/>
          <w:szCs w:val="32"/>
        </w:rPr>
        <w:fldChar w:fldCharType="end"/>
      </w:r>
      <w:r>
        <w:fldChar w:fldCharType="begin"/>
      </w:r>
      <w:r>
        <w:instrText xml:space="preserve"> HYPERLINK "http://59.196.244.10:100/blspLicense/javascript:goToLogin('%E4%B9%8C%E6%8B%89%E7%89%B9%E4%B8%AD%E6%97%97%E5%B7%A5%E4%B8%9A%E5%92%8C%E4%BF%A1%E6%81%AF%E5%8C%96%E5%B1%80');" </w:instrText>
      </w:r>
      <w:r>
        <w:fldChar w:fldCharType="separate"/>
      </w:r>
      <w:r>
        <w:rPr>
          <w:rFonts w:hint="eastAsia" w:ascii="仿宋_GB2312" w:hAnsi="仿宋_GB2312" w:eastAsia="仿宋_GB2312" w:cs="仿宋_GB2312"/>
          <w:sz w:val="32"/>
          <w:szCs w:val="32"/>
        </w:rPr>
        <w:t>工业和信息化</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"http://59.196.244.10:100/blspLicense/javascript:goToLogin('%E5%9B%BD%E5%AE%B6%E7%A8%8E%E5%8A%A1%E6%80%BB%E5%B1%80%E4%B9%8C%E6%8B%89%E7%89%B9%E4%B8%AD%E6%97%97%E7%A8%8E%E5%8A%A1%E5%B1%80');" </w:instrText>
      </w:r>
      <w:r>
        <w:fldChar w:fldCharType="separate"/>
      </w:r>
      <w:r>
        <w:rPr>
          <w:rFonts w:hint="eastAsia" w:ascii="仿宋_GB2312" w:hAnsi="仿宋_GB2312" w:eastAsia="仿宋_GB2312" w:cs="仿宋_GB2312"/>
          <w:sz w:val="32"/>
          <w:szCs w:val="32"/>
        </w:rPr>
        <w:t>税务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、消防救援、运输管理、</w:t>
      </w:r>
      <w:r>
        <w:fldChar w:fldCharType="begin"/>
      </w:r>
      <w:r>
        <w:instrText xml:space="preserve"> HYPERLINK "http://59.196.244.10:100/blspLicense/javascript:goToLogin('%E5%B7%B4%E5%BD%A6%E6%B7%96%E5%B0%94%E5%B8%82%E4%B9%8C%E6%8B%89%E7%89%B9%E4%B8%AD%E6%97%97%E7%83%9F%E8%8D%89%E4%B8%93%E5%8D%96%E5%B1%80');" </w:instrText>
      </w:r>
      <w:r>
        <w:fldChar w:fldCharType="separate"/>
      </w:r>
      <w:r>
        <w:rPr>
          <w:rFonts w:hint="eastAsia" w:ascii="仿宋_GB2312" w:hAnsi="仿宋_GB2312" w:eastAsia="仿宋_GB2312" w:cs="仿宋_GB2312"/>
          <w:sz w:val="32"/>
          <w:szCs w:val="32"/>
        </w:rPr>
        <w:t>烟草专卖</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333333"/>
          <w:spacing w:val="8"/>
          <w:sz w:val="32"/>
          <w:szCs w:val="32"/>
        </w:rPr>
        <w:t>等市场监管领域有关部门应将“双随机、一公开”作为市场监管的基本手段和方式，除特殊重点领域外，原则上所有行政检查都应通过双随机抽查的方式进行。</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p>
    <w:p>
      <w:pPr>
        <w:pStyle w:val="3"/>
        <w:shd w:val="clear" w:color="auto" w:fill="FFFFFF"/>
        <w:spacing w:before="0" w:beforeAutospacing="0" w:after="0" w:afterAutospacing="0" w:line="560" w:lineRule="exact"/>
        <w:ind w:firstLine="480"/>
        <w:jc w:val="center"/>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第二章</w:t>
      </w:r>
      <w:r>
        <w:rPr>
          <w:rStyle w:val="6"/>
          <w:rFonts w:hint="eastAsia" w:ascii="仿宋_GB2312" w:hAnsi="仿宋_GB2312" w:eastAsia="仿宋_GB2312" w:cs="仿宋_GB2312"/>
          <w:color w:val="333333"/>
          <w:spacing w:val="8"/>
          <w:sz w:val="32"/>
          <w:szCs w:val="32"/>
          <w:lang w:val="en-US" w:eastAsia="zh-CN"/>
        </w:rPr>
        <w:t xml:space="preserve">  </w:t>
      </w:r>
      <w:r>
        <w:rPr>
          <w:rStyle w:val="6"/>
          <w:rFonts w:hint="eastAsia" w:ascii="仿宋_GB2312" w:hAnsi="仿宋_GB2312" w:eastAsia="仿宋_GB2312" w:cs="仿宋_GB2312"/>
          <w:color w:val="333333"/>
          <w:spacing w:val="8"/>
          <w:sz w:val="32"/>
          <w:szCs w:val="32"/>
        </w:rPr>
        <w:t>基础准备</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第六条</w:t>
      </w:r>
      <w:r>
        <w:rPr>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市场监管局负责</w:t>
      </w:r>
      <w:r>
        <w:rPr>
          <w:rFonts w:hint="eastAsia" w:ascii="仿宋_GB2312" w:eastAsia="仿宋_GB2312"/>
          <w:sz w:val="32"/>
          <w:szCs w:val="32"/>
        </w:rPr>
        <w:t>国家企业信用信息公示系统</w:t>
      </w:r>
      <w:r>
        <w:rPr>
          <w:rFonts w:ascii="仿宋_GB2312" w:eastAsia="仿宋_GB2312"/>
          <w:sz w:val="32"/>
          <w:szCs w:val="32"/>
        </w:rPr>
        <w:t>-</w:t>
      </w:r>
      <w:r>
        <w:rPr>
          <w:rFonts w:hint="eastAsia" w:ascii="仿宋_GB2312" w:eastAsia="仿宋_GB2312"/>
          <w:sz w:val="32"/>
          <w:szCs w:val="32"/>
        </w:rPr>
        <w:t>部门协同监管平台（内蒙古）</w:t>
      </w:r>
      <w:r>
        <w:rPr>
          <w:rFonts w:hint="eastAsia" w:ascii="仿宋_GB2312" w:hAnsi="仿宋_GB2312" w:eastAsia="仿宋_GB2312" w:cs="仿宋_GB2312"/>
          <w:color w:val="333333"/>
          <w:spacing w:val="8"/>
          <w:sz w:val="32"/>
          <w:szCs w:val="32"/>
        </w:rPr>
        <w:t>（以下简称协同监管平台）的维护工作。各有关部门应依托监管平台开展本部门和部门联合“双随机、一公开”监管工作。</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第七条</w:t>
      </w:r>
      <w:r>
        <w:rPr>
          <w:rStyle w:val="6"/>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各有关部门应依照法律、法规、规章规定，建立本部门随机抽查事项清单（以下简称清单），明确抽查类别、抽查事项、检查对象、事项类别、检查方式、检查主体、检查依据等，并录入协同监管平台。</w:t>
      </w:r>
      <w:r>
        <w:rPr>
          <w:rFonts w:ascii="仿宋_GB2312" w:hAnsi="仿宋_GB2312" w:eastAsia="仿宋_GB2312" w:cs="仿宋_GB2312"/>
          <w:color w:val="333333"/>
          <w:spacing w:val="8"/>
          <w:sz w:val="32"/>
          <w:szCs w:val="32"/>
        </w:rPr>
        <w:t> </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清单应根据法律、法规、规章立改废释和工作实际情况等进行动态调整。各有关部门在调整完成清单后，应于</w:t>
      </w:r>
      <w:r>
        <w:rPr>
          <w:rFonts w:ascii="仿宋_GB2312" w:hAnsi="仿宋_GB2312" w:eastAsia="仿宋_GB2312" w:cs="仿宋_GB2312"/>
          <w:color w:val="333333"/>
          <w:spacing w:val="8"/>
          <w:sz w:val="32"/>
          <w:szCs w:val="32"/>
        </w:rPr>
        <w:t>10</w:t>
      </w:r>
      <w:r>
        <w:rPr>
          <w:rFonts w:hint="eastAsia" w:ascii="仿宋_GB2312" w:hAnsi="仿宋_GB2312" w:eastAsia="仿宋_GB2312" w:cs="仿宋_GB2312"/>
          <w:color w:val="333333"/>
          <w:spacing w:val="8"/>
          <w:sz w:val="32"/>
          <w:szCs w:val="32"/>
        </w:rPr>
        <w:t>个工作日内录入监管平台，并及时通过相关网站和监管平台向社会公示。无法律、法规、规章依据的，不得擅自调整。</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第八条</w:t>
      </w:r>
      <w:r>
        <w:rPr>
          <w:rStyle w:val="6"/>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随机抽查事项分为重点检查事项和一般检查事项。重点检查事项针对安全、质量、公共利益等重要领域，抽查比例不设上限；抽查比例高的，可以通过随机抽取的方式确定检查批次顺序。一般检查事项针对一般监管领域，抽查比例由政府根据监管实际情况设置上限。</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第九条</w:t>
      </w:r>
      <w:r>
        <w:rPr>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各有关部门应通过分类标注、批量导入等方式，在协同监管平台分别建立与本部门清单相对应的检查对象名录库，检查对象可以包括企业、农合、个体户等市场主体，也可以包括产品、项目、行为等。</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第十条</w:t>
      </w:r>
      <w:r>
        <w:rPr>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执法检查人员名录库由各有关部门分级在协同监管平台中建立，名录库包括所有相关的行政执法类公务员、具有行政执法资格的工作人员和从事日常监管工作的人员。</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执法检查人员名录库录入信息包括姓名、职务、执法证号、工作单位、执法资质、业务专长等，各有关部门应根据执法检查人员变动情况，及时更新维护。</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对特定领域的抽查，可吸收检测机构、科研院所、行业专家等辅助抽查，科学建立专家名录库。</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第十一条</w:t>
      </w:r>
      <w:r>
        <w:rPr>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各有关部门应结合实际，制定完善本部门随机抽查工作细则和工作指引。</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随机抽查工作细则应明确组织领导、抽取方法、检查流程、抽查方式、公示程序、信息共享、监管衔接、归档方式等重点环节。</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随机抽查工作指引应根据各抽查事项特点，逐一明确检查内容、方法和工作要求。</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p>
    <w:p>
      <w:pPr>
        <w:pStyle w:val="3"/>
        <w:shd w:val="clear" w:color="auto" w:fill="FFFFFF"/>
        <w:spacing w:before="0" w:beforeAutospacing="0" w:after="0" w:afterAutospacing="0" w:line="560" w:lineRule="exact"/>
        <w:ind w:firstLine="480"/>
        <w:jc w:val="center"/>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第三章</w:t>
      </w:r>
      <w:r>
        <w:rPr>
          <w:rStyle w:val="6"/>
          <w:rFonts w:ascii="仿宋_GB2312" w:hAnsi="仿宋_GB2312" w:eastAsia="仿宋_GB2312" w:cs="仿宋_GB2312"/>
          <w:color w:val="333333"/>
          <w:spacing w:val="8"/>
          <w:sz w:val="32"/>
          <w:szCs w:val="32"/>
        </w:rPr>
        <w:t xml:space="preserve">  </w:t>
      </w:r>
      <w:r>
        <w:rPr>
          <w:rStyle w:val="6"/>
          <w:rFonts w:hint="eastAsia" w:ascii="仿宋_GB2312" w:hAnsi="仿宋_GB2312" w:eastAsia="仿宋_GB2312" w:cs="仿宋_GB2312"/>
          <w:color w:val="333333"/>
          <w:spacing w:val="8"/>
          <w:sz w:val="32"/>
          <w:szCs w:val="32"/>
        </w:rPr>
        <w:t>联合抽查流程</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第十三条</w:t>
      </w:r>
      <w:r>
        <w:rPr>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各有关部门应于每年</w:t>
      </w:r>
      <w:r>
        <w:rPr>
          <w:rFonts w:ascii="仿宋_GB2312" w:hAnsi="仿宋_GB2312" w:eastAsia="仿宋_GB2312" w:cs="仿宋_GB2312"/>
          <w:color w:val="333333"/>
          <w:spacing w:val="8"/>
          <w:sz w:val="32"/>
          <w:szCs w:val="32"/>
        </w:rPr>
        <w:t>12</w:t>
      </w:r>
      <w:r>
        <w:rPr>
          <w:rFonts w:hint="eastAsia" w:ascii="仿宋_GB2312" w:hAnsi="仿宋_GB2312" w:eastAsia="仿宋_GB2312" w:cs="仿宋_GB2312"/>
          <w:color w:val="333333"/>
          <w:spacing w:val="8"/>
          <w:sz w:val="32"/>
          <w:szCs w:val="32"/>
        </w:rPr>
        <w:t>月底前确定本系统下年度“双随机、一公开”抽查重点。各有关部门根据抽查重点，结合实际，于次年</w:t>
      </w:r>
      <w:r>
        <w:rPr>
          <w:rFonts w:ascii="仿宋_GB2312" w:hAnsi="仿宋_GB2312" w:eastAsia="仿宋_GB2312" w:cs="仿宋_GB2312"/>
          <w:color w:val="333333"/>
          <w:spacing w:val="8"/>
          <w:sz w:val="32"/>
          <w:szCs w:val="32"/>
        </w:rPr>
        <w:t>1</w:t>
      </w:r>
      <w:r>
        <w:rPr>
          <w:rFonts w:hint="eastAsia" w:ascii="仿宋_GB2312" w:hAnsi="仿宋_GB2312" w:eastAsia="仿宋_GB2312" w:cs="仿宋_GB2312"/>
          <w:color w:val="333333"/>
          <w:spacing w:val="8"/>
          <w:sz w:val="32"/>
          <w:szCs w:val="32"/>
        </w:rPr>
        <w:t>月底前制定本部门年度抽查工作计划。</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第十四条</w:t>
      </w:r>
      <w:r>
        <w:rPr>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人民政府应结合地区实际和行业主管部门抽查要求，在每年</w:t>
      </w:r>
      <w:r>
        <w:rPr>
          <w:rFonts w:ascii="仿宋_GB2312" w:hAnsi="仿宋_GB2312" w:eastAsia="仿宋_GB2312" w:cs="仿宋_GB2312"/>
          <w:color w:val="333333"/>
          <w:spacing w:val="8"/>
          <w:sz w:val="32"/>
          <w:szCs w:val="32"/>
        </w:rPr>
        <w:t>3</w:t>
      </w:r>
      <w:r>
        <w:rPr>
          <w:rFonts w:hint="eastAsia" w:ascii="仿宋_GB2312" w:hAnsi="仿宋_GB2312" w:eastAsia="仿宋_GB2312" w:cs="仿宋_GB2312"/>
          <w:color w:val="333333"/>
          <w:spacing w:val="8"/>
          <w:sz w:val="32"/>
          <w:szCs w:val="32"/>
        </w:rPr>
        <w:t>月底前统筹制定本行政区域部门联合年度抽查工作计划，并通过相关网站和国家企业信用信息公示系统（内蒙古）（以下简称公示系统）向社会公示。</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部门联合年度抽查工作计划应明确抽查计划名称、抽查任务名称、抽查事项、检查对象、抽查比例、抽查数量、部门联合检查发起部门和参与部门、抽查检查日期等事宜，科学确定部门联合抽查的事项和发起、参与部门，实现“进一次门、查多项事”。</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年度抽查工作计划应根据法律法规规定和监管实际情况，按照风险等级、信用水平，对检查对象采取差异化分类监管措施，合理确定、动态调整抽查比例、频次。发现普遍性问题或者有突发性风险的领域，适当提高抽查比例和频次。</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对通过投诉举报、转办交办、数据监测等发现的违法违规个案线索，要立即实施检查、处置。</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第十五条</w:t>
      </w:r>
      <w:r>
        <w:rPr>
          <w:rStyle w:val="6"/>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各部门年度抽查工作计划和部门联合年度抽查工作计划可根据工作实际动态调整，调整后应当在</w:t>
      </w:r>
      <w:r>
        <w:rPr>
          <w:rFonts w:ascii="仿宋_GB2312" w:hAnsi="仿宋_GB2312" w:eastAsia="仿宋_GB2312" w:cs="仿宋_GB2312"/>
          <w:color w:val="333333"/>
          <w:spacing w:val="8"/>
          <w:sz w:val="32"/>
          <w:szCs w:val="32"/>
        </w:rPr>
        <w:t>10</w:t>
      </w:r>
      <w:r>
        <w:rPr>
          <w:rFonts w:hint="eastAsia" w:ascii="仿宋_GB2312" w:hAnsi="仿宋_GB2312" w:eastAsia="仿宋_GB2312" w:cs="仿宋_GB2312"/>
          <w:color w:val="333333"/>
          <w:spacing w:val="8"/>
          <w:sz w:val="32"/>
          <w:szCs w:val="32"/>
        </w:rPr>
        <w:t>个工作日内录入监管平台，并在公示系统公示。</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第十六条</w:t>
      </w:r>
      <w:r>
        <w:rPr>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人民政府根据部门联合年度抽查工作计划，组织领导本行政区域部门联合“双随机、一公开”监管工作。按照业务相近原则，应当将市场监管细化为若干领域，并为各领域指定联合抽查发起部门和参与部门。各有关部门均可发起该领域的部门联合抽查。</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第十七条</w:t>
      </w:r>
      <w:r>
        <w:rPr>
          <w:rStyle w:val="6"/>
          <w:rFonts w:ascii="仿宋_GB2312" w:hAnsi="仿宋_GB2312" w:eastAsia="仿宋_GB2312" w:cs="仿宋_GB2312"/>
          <w:color w:val="333333"/>
          <w:spacing w:val="8"/>
          <w:sz w:val="32"/>
          <w:szCs w:val="32"/>
        </w:rPr>
        <w:t> </w:t>
      </w:r>
      <w:r>
        <w:rPr>
          <w:rStyle w:val="9"/>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联合抽查发起部门负责统筹制定联合抽查工作方案，明确联合抽查事项、抽查方式、检查日程安排、工作进度等事宜。发起部门和参与部门联合对抽查事项进行检查。</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第十八条</w:t>
      </w:r>
      <w:r>
        <w:rPr>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联合抽查发起部门要按照部门联合年度抽查工作计划，负责统一随机抽取被检查对象名单（以下简称名单），原则上在同一行业布置的抽查应该避免重复组织。</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上级部门可委托下级部门进行检查，并应在名单抽取后</w:t>
      </w:r>
      <w:r>
        <w:rPr>
          <w:rFonts w:ascii="仿宋_GB2312" w:hAnsi="仿宋_GB2312" w:eastAsia="仿宋_GB2312" w:cs="仿宋_GB2312"/>
          <w:color w:val="333333"/>
          <w:spacing w:val="8"/>
          <w:sz w:val="32"/>
          <w:szCs w:val="32"/>
        </w:rPr>
        <w:t>5</w:t>
      </w:r>
      <w:r>
        <w:rPr>
          <w:rFonts w:hint="eastAsia" w:ascii="仿宋_GB2312" w:hAnsi="仿宋_GB2312" w:eastAsia="仿宋_GB2312" w:cs="仿宋_GB2312"/>
          <w:color w:val="333333"/>
          <w:spacing w:val="8"/>
          <w:sz w:val="32"/>
          <w:szCs w:val="32"/>
        </w:rPr>
        <w:t>个工作日内派发至检查部门。</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第十九条</w:t>
      </w:r>
      <w:r>
        <w:rPr>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参与检查部门在收到名单后</w:t>
      </w:r>
      <w:r>
        <w:rPr>
          <w:rFonts w:ascii="仿宋_GB2312" w:hAnsi="仿宋_GB2312" w:eastAsia="仿宋_GB2312" w:cs="仿宋_GB2312"/>
          <w:color w:val="333333"/>
          <w:spacing w:val="8"/>
          <w:sz w:val="32"/>
          <w:szCs w:val="32"/>
        </w:rPr>
        <w:t>5</w:t>
      </w:r>
      <w:r>
        <w:rPr>
          <w:rFonts w:hint="eastAsia" w:ascii="仿宋_GB2312" w:hAnsi="仿宋_GB2312" w:eastAsia="仿宋_GB2312" w:cs="仿宋_GB2312"/>
          <w:color w:val="333333"/>
          <w:spacing w:val="8"/>
          <w:sz w:val="32"/>
          <w:szCs w:val="32"/>
        </w:rPr>
        <w:t>个工作日内，综合考虑本行政区域地理环境、属地管理、人员配备、专业要求、任务特点、保障水平等情况，可选择在本部门内随机、部门与部门随机、上级部门与下级部门随机等满足抽查检查实际需要的选派方式，随机选派执法检查人员。</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抽查事项需要请专家参与的，可从专家名录库中选派。发现执法检查人员、专家与被检查对象之间存在利害关系的，应当重新选派。</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第二十条</w:t>
      </w:r>
      <w:r>
        <w:rPr>
          <w:rStyle w:val="6"/>
          <w:rFonts w:ascii="仿宋_GB2312" w:hAnsi="仿宋_GB2312" w:eastAsia="仿宋_GB2312" w:cs="仿宋_GB2312"/>
          <w:color w:val="333333"/>
          <w:spacing w:val="8"/>
          <w:sz w:val="32"/>
          <w:szCs w:val="32"/>
        </w:rPr>
        <w:t> </w:t>
      </w:r>
      <w:r>
        <w:rPr>
          <w:rStyle w:val="9"/>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随机抽取检查对象和随机选派执法检查人员，均应运用电子化手段随机抽取，全程留痕。</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第二十一条</w:t>
      </w:r>
      <w:r>
        <w:rPr>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随机抽查可采取实地核查、书面检查、网络监测等检查方式；涉及专业领域的，可委托有资质的机构开展检验检测、财务审计、调查咨询等工作，或依法采用相关机构作出的鉴定结论。</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第二十二条</w:t>
      </w:r>
      <w:r>
        <w:rPr>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执法检查人员应如实填写《随机抽查检查表》，按照“一次一档”原则归档保存。采取实地核查的，应由被检查对象法定代表人（负责人）对检查情况签字或者盖章确认；拒绝签字或者盖章的，执法检查人员应当注明原因，必要时邀请相关人员签字见证。</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第二十三条</w:t>
      </w:r>
      <w:r>
        <w:rPr>
          <w:rStyle w:val="6"/>
          <w:rFonts w:ascii="仿宋_GB2312" w:hAnsi="仿宋_GB2312" w:eastAsia="仿宋_GB2312" w:cs="仿宋_GB2312"/>
          <w:color w:val="333333"/>
          <w:spacing w:val="8"/>
          <w:sz w:val="32"/>
          <w:szCs w:val="32"/>
        </w:rPr>
        <w:t> </w:t>
      </w:r>
      <w:r>
        <w:rPr>
          <w:rStyle w:val="9"/>
          <w:rFonts w:ascii="仿宋_GB2312" w:hAnsi="仿宋_GB2312" w:eastAsia="仿宋_GB2312" w:cs="仿宋_GB2312"/>
          <w:b/>
          <w:bCs/>
          <w:color w:val="333333"/>
          <w:spacing w:val="8"/>
          <w:sz w:val="32"/>
          <w:szCs w:val="32"/>
        </w:rPr>
        <w:t> </w:t>
      </w:r>
      <w:r>
        <w:rPr>
          <w:rFonts w:hint="eastAsia" w:ascii="仿宋_GB2312" w:hAnsi="仿宋_GB2312" w:eastAsia="仿宋_GB2312" w:cs="仿宋_GB2312"/>
          <w:color w:val="333333"/>
          <w:spacing w:val="8"/>
          <w:sz w:val="32"/>
          <w:szCs w:val="32"/>
        </w:rPr>
        <w:t>按照“谁检查、谁录入、谁公示”的原则，检查部门原则上在完成检查之日起</w:t>
      </w:r>
      <w:r>
        <w:rPr>
          <w:rFonts w:ascii="仿宋_GB2312" w:hAnsi="仿宋_GB2312" w:eastAsia="仿宋_GB2312" w:cs="仿宋_GB2312"/>
          <w:color w:val="333333"/>
          <w:spacing w:val="8"/>
          <w:sz w:val="32"/>
          <w:szCs w:val="32"/>
        </w:rPr>
        <w:t>20</w:t>
      </w:r>
      <w:r>
        <w:rPr>
          <w:rFonts w:hint="eastAsia" w:ascii="仿宋_GB2312" w:hAnsi="仿宋_GB2312" w:eastAsia="仿宋_GB2312" w:cs="仿宋_GB2312"/>
          <w:color w:val="333333"/>
          <w:spacing w:val="8"/>
          <w:sz w:val="32"/>
          <w:szCs w:val="32"/>
        </w:rPr>
        <w:t>个工作日内，通过协同监管平台录入并公示抽查检查结果。自治区市场监管局负责将监管平台的抽查检查结果信息及时推送至自治区社会信用信息平台，并向社会公示。</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抽查检查结果的公示只针对检查行为本身，后续对检查对象作出行政处罚等监管执法结果信息应按照规定程序另行公示。</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第二十四条</w:t>
      </w:r>
      <w:r>
        <w:rPr>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检查过程中发现存在违法违规行为的，应当依法依规作出相应处理。各有关部门应建立部门内部违法违规行为线索的移转机制，由职责对应的内设机构处理。违法违规行为属于其他部门监管职责的，应将违法违规行为线索及时告知相关部门，涉嫌犯罪的要及时移送司法机关，并做好告知移送记录。</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第二十五条</w:t>
      </w:r>
      <w:r>
        <w:rPr>
          <w:rFonts w:ascii="仿宋_GB2312" w:hAnsi="仿宋_GB2312" w:eastAsia="仿宋_GB2312" w:cs="仿宋_GB2312"/>
          <w:color w:val="333333"/>
          <w:spacing w:val="8"/>
          <w:sz w:val="32"/>
          <w:szCs w:val="32"/>
        </w:rPr>
        <w:t xml:space="preserve">  </w:t>
      </w:r>
      <w:r>
        <w:rPr>
          <w:rFonts w:hint="eastAsia" w:ascii="仿宋_GB2312" w:hAnsi="仿宋_GB2312" w:eastAsia="仿宋_GB2312" w:cs="仿宋_GB2312"/>
          <w:color w:val="333333"/>
          <w:spacing w:val="8"/>
          <w:sz w:val="32"/>
          <w:szCs w:val="32"/>
        </w:rPr>
        <w:t>各有关部门应通过公示系统公示并接收其他部门抽查检查结果信息，实现抽查检查结果部门间互认，促进“双随机、一公开”监管与信用监管有效衔接，对抽查发现的违法违规及失信行为依法实施联合惩戒。</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p>
    <w:p>
      <w:pPr>
        <w:pStyle w:val="3"/>
        <w:shd w:val="clear" w:color="auto" w:fill="FFFFFF"/>
        <w:spacing w:before="0" w:beforeAutospacing="0" w:after="0" w:afterAutospacing="0" w:line="560" w:lineRule="exact"/>
        <w:ind w:firstLine="480"/>
        <w:jc w:val="center"/>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第四章</w:t>
      </w:r>
      <w:r>
        <w:rPr>
          <w:rStyle w:val="6"/>
          <w:rFonts w:ascii="仿宋_GB2312" w:hAnsi="仿宋_GB2312" w:eastAsia="仿宋_GB2312" w:cs="仿宋_GB2312"/>
          <w:color w:val="333333"/>
          <w:spacing w:val="8"/>
          <w:sz w:val="32"/>
          <w:szCs w:val="32"/>
        </w:rPr>
        <w:t xml:space="preserve">  </w:t>
      </w:r>
      <w:r>
        <w:rPr>
          <w:rStyle w:val="6"/>
          <w:rFonts w:hint="eastAsia" w:ascii="仿宋_GB2312" w:hAnsi="仿宋_GB2312" w:eastAsia="仿宋_GB2312" w:cs="仿宋_GB2312"/>
          <w:color w:val="333333"/>
          <w:spacing w:val="8"/>
          <w:sz w:val="32"/>
          <w:szCs w:val="32"/>
        </w:rPr>
        <w:t>工作职责</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第二十六条</w:t>
      </w:r>
      <w:r>
        <w:rPr>
          <w:rStyle w:val="6"/>
          <w:rFonts w:ascii="仿宋_GB2312" w:hAnsi="仿宋_GB2312" w:eastAsia="仿宋_GB2312" w:cs="仿宋_GB2312"/>
          <w:color w:val="333333"/>
          <w:spacing w:val="8"/>
          <w:sz w:val="32"/>
          <w:szCs w:val="32"/>
        </w:rPr>
        <w:t> </w:t>
      </w:r>
      <w:r>
        <w:rPr>
          <w:rStyle w:val="9"/>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部门联合“双随机、一公开”监管按照政府主导、部门牵头、协同联动、统筹推进的原则，以“一单两库一细则”为基础，坚持全面覆盖、规范透明、问题导向、协同推进。</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人民政府应加强对本行政区域“双随机、一公开”监管工作的组织领导、监督检查，建立由市场监管部门牵头的联席会议制度，保障部门联合“双随机、一公开”监管经费。</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各有关部门负责推动、指导、督促本系统“双随机、一公开”监管工作，参加部门联合“双随机、一公开”监管。</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各有关部门应按照年度抽查工作计划负责本部门和本部门发起的部门联合“双随机、一公开”监管工作的具体实施。</w:t>
      </w: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第二十七条</w:t>
      </w:r>
      <w:r>
        <w:rPr>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市场监管部门负责本级各有关部门的协同监管平台操作培训，各有关部门负责本部门的抽查检查业务培训。</w:t>
      </w:r>
    </w:p>
    <w:p>
      <w:pPr>
        <w:pStyle w:val="3"/>
        <w:shd w:val="clear" w:color="auto" w:fill="FFFFFF"/>
        <w:spacing w:before="0" w:beforeAutospacing="0" w:after="0" w:afterAutospacing="0" w:line="560" w:lineRule="exact"/>
        <w:ind w:firstLine="672" w:firstLineChars="200"/>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联合抽查发起部门原则上应在检查之前对执法检查人员进行业务培训。</w:t>
      </w:r>
    </w:p>
    <w:p>
      <w:pPr>
        <w:pStyle w:val="3"/>
        <w:shd w:val="clear" w:color="auto" w:fill="FFFFFF"/>
        <w:spacing w:before="0" w:beforeAutospacing="0" w:after="0" w:afterAutospacing="0" w:line="560" w:lineRule="exact"/>
        <w:ind w:firstLine="480"/>
        <w:jc w:val="center"/>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第五章</w:t>
      </w:r>
      <w:r>
        <w:rPr>
          <w:rStyle w:val="6"/>
          <w:rFonts w:ascii="仿宋_GB2312" w:hAnsi="仿宋_GB2312" w:eastAsia="仿宋_GB2312" w:cs="仿宋_GB2312"/>
          <w:color w:val="333333"/>
          <w:spacing w:val="8"/>
          <w:sz w:val="32"/>
          <w:szCs w:val="32"/>
        </w:rPr>
        <w:t xml:space="preserve">  </w:t>
      </w:r>
      <w:r>
        <w:rPr>
          <w:rStyle w:val="6"/>
          <w:rFonts w:hint="eastAsia" w:ascii="仿宋_GB2312" w:hAnsi="仿宋_GB2312" w:eastAsia="仿宋_GB2312" w:cs="仿宋_GB2312"/>
          <w:color w:val="333333"/>
          <w:spacing w:val="8"/>
          <w:sz w:val="32"/>
          <w:szCs w:val="32"/>
        </w:rPr>
        <w:t>责任追究</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第二十八条</w:t>
      </w:r>
      <w:r>
        <w:rPr>
          <w:rStyle w:val="6"/>
          <w:rFonts w:ascii="仿宋_GB2312" w:hAnsi="仿宋_GB2312" w:eastAsia="仿宋_GB2312" w:cs="仿宋_GB2312"/>
          <w:color w:val="333333"/>
          <w:spacing w:val="8"/>
          <w:sz w:val="32"/>
          <w:szCs w:val="32"/>
        </w:rPr>
        <w:t> </w:t>
      </w:r>
      <w:r>
        <w:rPr>
          <w:rFonts w:hint="eastAsia" w:ascii="仿宋_GB2312" w:hAnsi="仿宋_GB2312" w:eastAsia="仿宋_GB2312" w:cs="仿宋_GB2312"/>
          <w:color w:val="333333"/>
          <w:spacing w:val="8"/>
          <w:sz w:val="32"/>
          <w:szCs w:val="32"/>
        </w:rPr>
        <w:t>按照“尽职照单免责、失职照单问责”的原则，既严格问责追责，又有效保护基层执法检查人员担当作为、干事创业的积极性。对未履行、不当履行或违法履行“双随机、一公开”监管职责的，要依法依规严肃处理；涉嫌犯罪的，移送有关机关依法处理。对严格依据随机抽查事项清单和相关工作要求开展“双随机、一公开”监管，市场主体出现问题的，应结合工作程序方法等进行综合分析，该免责的依法依规免予追究相关责任。</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p>
    <w:p>
      <w:pPr>
        <w:pStyle w:val="3"/>
        <w:shd w:val="clear" w:color="auto" w:fill="FFFFFF"/>
        <w:spacing w:before="0" w:beforeAutospacing="0" w:after="0" w:afterAutospacing="0" w:line="560" w:lineRule="exact"/>
        <w:ind w:firstLine="480"/>
        <w:jc w:val="center"/>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第六章</w:t>
      </w:r>
      <w:r>
        <w:rPr>
          <w:rStyle w:val="6"/>
          <w:rFonts w:ascii="仿宋_GB2312" w:hAnsi="仿宋_GB2312" w:eastAsia="仿宋_GB2312" w:cs="仿宋_GB2312"/>
          <w:color w:val="333333"/>
          <w:spacing w:val="8"/>
          <w:sz w:val="32"/>
          <w:szCs w:val="32"/>
        </w:rPr>
        <w:t xml:space="preserve">  </w:t>
      </w:r>
      <w:r>
        <w:rPr>
          <w:rStyle w:val="6"/>
          <w:rFonts w:hint="eastAsia" w:ascii="仿宋_GB2312" w:hAnsi="仿宋_GB2312" w:eastAsia="仿宋_GB2312" w:cs="仿宋_GB2312"/>
          <w:color w:val="333333"/>
          <w:spacing w:val="8"/>
          <w:sz w:val="32"/>
          <w:szCs w:val="32"/>
        </w:rPr>
        <w:t>附</w:t>
      </w:r>
      <w:r>
        <w:rPr>
          <w:rStyle w:val="6"/>
          <w:rFonts w:ascii="仿宋_GB2312" w:hAnsi="仿宋_GB2312" w:eastAsia="仿宋_GB2312" w:cs="仿宋_GB2312"/>
          <w:color w:val="333333"/>
          <w:spacing w:val="8"/>
          <w:sz w:val="32"/>
          <w:szCs w:val="32"/>
        </w:rPr>
        <w:t xml:space="preserve">    </w:t>
      </w:r>
      <w:r>
        <w:rPr>
          <w:rStyle w:val="6"/>
          <w:rFonts w:hint="eastAsia" w:ascii="仿宋_GB2312" w:hAnsi="仿宋_GB2312" w:eastAsia="仿宋_GB2312" w:cs="仿宋_GB2312"/>
          <w:color w:val="333333"/>
          <w:spacing w:val="8"/>
          <w:sz w:val="32"/>
          <w:szCs w:val="32"/>
        </w:rPr>
        <w:t>则</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p>
    <w:p>
      <w:pPr>
        <w:pStyle w:val="3"/>
        <w:shd w:val="clear" w:color="auto" w:fill="FFFFFF"/>
        <w:spacing w:before="0" w:beforeAutospacing="0" w:after="0" w:afterAutospacing="0" w:line="560" w:lineRule="exact"/>
        <w:ind w:firstLine="675" w:firstLineChars="200"/>
        <w:rPr>
          <w:rFonts w:ascii="仿宋_GB2312" w:hAnsi="仿宋_GB2312" w:eastAsia="仿宋_GB2312" w:cs="仿宋_GB2312"/>
          <w:color w:val="333333"/>
          <w:spacing w:val="8"/>
          <w:sz w:val="32"/>
          <w:szCs w:val="32"/>
        </w:rPr>
      </w:pPr>
      <w:r>
        <w:rPr>
          <w:rStyle w:val="6"/>
          <w:rFonts w:hint="eastAsia" w:ascii="仿宋_GB2312" w:hAnsi="仿宋_GB2312" w:eastAsia="仿宋_GB2312" w:cs="仿宋_GB2312"/>
          <w:color w:val="333333"/>
          <w:spacing w:val="8"/>
          <w:sz w:val="32"/>
          <w:szCs w:val="32"/>
        </w:rPr>
        <w:t>第二十九条</w:t>
      </w:r>
      <w:r>
        <w:rPr>
          <w:rStyle w:val="6"/>
          <w:rFonts w:ascii="仿宋_GB2312" w:hAnsi="仿宋_GB2312" w:eastAsia="仿宋_GB2312" w:cs="仿宋_GB2312"/>
          <w:color w:val="333333"/>
          <w:spacing w:val="8"/>
          <w:sz w:val="32"/>
          <w:szCs w:val="32"/>
        </w:rPr>
        <w:t> </w:t>
      </w:r>
      <w:r>
        <w:rPr>
          <w:rStyle w:val="9"/>
          <w:rFonts w:ascii="仿宋_GB2312" w:hAnsi="仿宋_GB2312" w:eastAsia="仿宋_GB2312" w:cs="仿宋_GB2312"/>
          <w:b/>
          <w:bCs/>
          <w:color w:val="333333"/>
          <w:spacing w:val="8"/>
          <w:sz w:val="32"/>
          <w:szCs w:val="32"/>
        </w:rPr>
        <w:t> </w:t>
      </w:r>
      <w:r>
        <w:rPr>
          <w:rFonts w:hint="eastAsia" w:ascii="仿宋_GB2312" w:hAnsi="仿宋_GB2312" w:eastAsia="仿宋_GB2312" w:cs="仿宋_GB2312"/>
          <w:color w:val="333333"/>
          <w:spacing w:val="8"/>
          <w:sz w:val="32"/>
          <w:szCs w:val="32"/>
        </w:rPr>
        <w:t>本办法自印发之日起施行。</w:t>
      </w:r>
    </w:p>
    <w:p>
      <w:pPr>
        <w:pStyle w:val="3"/>
        <w:shd w:val="clear" w:color="auto" w:fill="FFFFFF"/>
        <w:spacing w:before="0" w:beforeAutospacing="0" w:after="0" w:afterAutospacing="0" w:line="560" w:lineRule="exact"/>
        <w:ind w:firstLine="480"/>
        <w:rPr>
          <w:rFonts w:ascii="仿宋_GB2312" w:hAnsi="仿宋_GB2312" w:eastAsia="仿宋_GB2312" w:cs="仿宋_GB2312"/>
          <w:color w:val="333333"/>
          <w:spacing w:val="8"/>
          <w:sz w:val="32"/>
          <w:szCs w:val="32"/>
        </w:rPr>
      </w:pPr>
      <w:r>
        <w:rPr>
          <w:rFonts w:ascii="仿宋_GB2312" w:hAnsi="仿宋_GB2312" w:eastAsia="仿宋_GB2312" w:cs="仿宋_GB2312"/>
          <w:color w:val="333333"/>
          <w:spacing w:val="8"/>
          <w:sz w:val="32"/>
          <w:szCs w:val="32"/>
        </w:rPr>
        <w:t> </w:t>
      </w:r>
    </w:p>
    <w:p/>
    <w:p/>
    <w:p/>
    <w:p/>
    <w:p/>
    <w:p/>
    <w:p>
      <w:pPr>
        <w:pStyle w:val="3"/>
        <w:shd w:val="clear" w:color="auto" w:fill="FFFFFF"/>
        <w:spacing w:before="0" w:beforeAutospacing="0" w:after="0" w:afterAutospacing="0" w:line="560" w:lineRule="exact"/>
        <w:ind w:firstLine="3360" w:firstLineChars="1000"/>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五原县商事制度改革和事中事后</w:t>
      </w:r>
    </w:p>
    <w:p>
      <w:pPr>
        <w:pStyle w:val="3"/>
        <w:shd w:val="clear" w:color="auto" w:fill="FFFFFF"/>
        <w:spacing w:before="0" w:beforeAutospacing="0" w:after="0" w:afterAutospacing="0" w:line="560" w:lineRule="exact"/>
        <w:ind w:firstLine="3696" w:firstLineChars="1100"/>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监管协调工作领导小组办公室</w:t>
      </w:r>
    </w:p>
    <w:p>
      <w:pPr>
        <w:pStyle w:val="3"/>
        <w:shd w:val="clear" w:color="auto" w:fill="FFFFFF"/>
        <w:spacing w:before="0" w:beforeAutospacing="0" w:after="0" w:afterAutospacing="0" w:line="560" w:lineRule="exact"/>
        <w:ind w:firstLine="4704" w:firstLineChars="1400"/>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202</w:t>
      </w:r>
      <w:r>
        <w:rPr>
          <w:rFonts w:hint="eastAsia" w:ascii="仿宋_GB2312" w:hAnsi="仿宋_GB2312" w:eastAsia="仿宋_GB2312" w:cs="仿宋_GB2312"/>
          <w:color w:val="333333"/>
          <w:spacing w:val="8"/>
          <w:sz w:val="32"/>
          <w:szCs w:val="32"/>
          <w:lang w:val="en-US" w:eastAsia="zh-CN"/>
        </w:rPr>
        <w:t>3</w:t>
      </w:r>
      <w:r>
        <w:rPr>
          <w:rFonts w:hint="eastAsia" w:ascii="仿宋_GB2312" w:hAnsi="仿宋_GB2312" w:eastAsia="仿宋_GB2312" w:cs="仿宋_GB2312"/>
          <w:color w:val="333333"/>
          <w:spacing w:val="8"/>
          <w:sz w:val="32"/>
          <w:szCs w:val="32"/>
        </w:rPr>
        <w:t>年</w:t>
      </w:r>
      <w:r>
        <w:rPr>
          <w:rFonts w:hint="eastAsia" w:ascii="仿宋_GB2312" w:hAnsi="仿宋_GB2312" w:eastAsia="仿宋_GB2312" w:cs="仿宋_GB2312"/>
          <w:color w:val="333333"/>
          <w:spacing w:val="8"/>
          <w:sz w:val="32"/>
          <w:szCs w:val="32"/>
          <w:lang w:val="en-US" w:eastAsia="zh-CN"/>
        </w:rPr>
        <w:t>2</w:t>
      </w:r>
      <w:r>
        <w:rPr>
          <w:rFonts w:hint="eastAsia" w:ascii="仿宋_GB2312" w:hAnsi="仿宋_GB2312" w:eastAsia="仿宋_GB2312" w:cs="仿宋_GB2312"/>
          <w:color w:val="333333"/>
          <w:spacing w:val="8"/>
          <w:sz w:val="32"/>
          <w:szCs w:val="32"/>
        </w:rPr>
        <w:t>月10日</w:t>
      </w:r>
    </w:p>
    <w:p/>
    <w:p/>
    <w:p>
      <w:pPr>
        <w:sectPr>
          <w:footerReference r:id="rId3" w:type="default"/>
          <w:footerReference r:id="rId4" w:type="even"/>
          <w:pgSz w:w="11906" w:h="16838"/>
          <w:pgMar w:top="1440" w:right="1800" w:bottom="1440" w:left="1800" w:header="851" w:footer="992" w:gutter="0"/>
          <w:cols w:space="425" w:num="1"/>
          <w:docGrid w:type="lines" w:linePitch="312" w:charSpace="0"/>
        </w:sectPr>
      </w:pPr>
    </w:p>
    <w:p>
      <w:pPr>
        <w:rPr>
          <w:rFonts w:hint="eastAsia" w:eastAsia="宋体"/>
          <w:lang w:eastAsia="zh-CN"/>
        </w:rPr>
      </w:pPr>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TJkMTI0YWVkMDRlNTZhYzIxNmI3Y2ZjOTJlNDEifQ=="/>
  </w:docVars>
  <w:rsids>
    <w:rsidRoot w:val="61BB5594"/>
    <w:rsid w:val="00031978"/>
    <w:rsid w:val="000E458E"/>
    <w:rsid w:val="001D0660"/>
    <w:rsid w:val="00461C97"/>
    <w:rsid w:val="004C7C13"/>
    <w:rsid w:val="005F75F6"/>
    <w:rsid w:val="00626EF2"/>
    <w:rsid w:val="00645E78"/>
    <w:rsid w:val="006C2E1A"/>
    <w:rsid w:val="008D3FA6"/>
    <w:rsid w:val="00A40C3A"/>
    <w:rsid w:val="00A953ED"/>
    <w:rsid w:val="00C37911"/>
    <w:rsid w:val="00C774CB"/>
    <w:rsid w:val="00F1031C"/>
    <w:rsid w:val="01E5606C"/>
    <w:rsid w:val="03243E5F"/>
    <w:rsid w:val="0AA65067"/>
    <w:rsid w:val="20510039"/>
    <w:rsid w:val="29B0624A"/>
    <w:rsid w:val="2B194B83"/>
    <w:rsid w:val="373D4E10"/>
    <w:rsid w:val="4CCA71AF"/>
    <w:rsid w:val="4E18286A"/>
    <w:rsid w:val="55172786"/>
    <w:rsid w:val="569C196F"/>
    <w:rsid w:val="61BB5594"/>
    <w:rsid w:val="65493E81"/>
    <w:rsid w:val="6958111C"/>
    <w:rsid w:val="7A6A46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99"/>
    <w:rPr>
      <w:rFonts w:cs="Times New Roman"/>
      <w:b/>
      <w:bCs/>
    </w:rPr>
  </w:style>
  <w:style w:type="character" w:styleId="7">
    <w:name w:val="page number"/>
    <w:basedOn w:val="5"/>
    <w:uiPriority w:val="99"/>
    <w:rPr>
      <w:rFonts w:cs="Times New Roman"/>
    </w:rPr>
  </w:style>
  <w:style w:type="character" w:customStyle="1" w:styleId="8">
    <w:name w:val="页脚 字符"/>
    <w:basedOn w:val="5"/>
    <w:link w:val="2"/>
    <w:semiHidden/>
    <w:qFormat/>
    <w:uiPriority w:val="99"/>
    <w:rPr>
      <w:sz w:val="18"/>
      <w:szCs w:val="18"/>
    </w:rPr>
  </w:style>
  <w:style w:type="character" w:customStyle="1" w:styleId="9">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4588</Words>
  <Characters>4622</Characters>
  <Lines>68</Lines>
  <Paragraphs>19</Paragraphs>
  <TotalTime>35</TotalTime>
  <ScaleCrop>false</ScaleCrop>
  <LinksUpToDate>false</LinksUpToDate>
  <CharactersWithSpaces>4769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2020-03-23T01:56:00Z</dcterms:created>
  <dc:creator>Administrator</dc:creator>
  <cp:lastModifiedBy>王志</cp:lastModifiedBy>
  <cp:lastPrinted>2021-10-14T10:27:00Z</cp:lastPrinted>
  <dcterms:modified xsi:type="dcterms:W3CDTF">2023-10-08T02:41:31Z</dcterms:modified>
  <dc:title>五原县市场监管领域部门联合</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22C1E3CC1B9B4C40A625D2BA02CB13C6_13</vt:lpwstr>
  </property>
</Properties>
</file>