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hd w:val="clear" w:color="auto" w:fill="FFFFFF"/>
        <w:spacing w:before="0" w:beforeAutospacing="0" w:after="0" w:afterAutospacing="0"/>
        <w:jc w:val="both"/>
        <w:rPr>
          <w:rStyle w:val="6"/>
          <w:rFonts w:ascii="方正小标宋简体" w:hAnsi="方正小标宋简体" w:eastAsia="方正小标宋简体" w:cs="方正小标宋简体"/>
          <w:color w:val="333333"/>
          <w:spacing w:val="8"/>
          <w:sz w:val="32"/>
          <w:szCs w:val="32"/>
        </w:rPr>
      </w:pPr>
    </w:p>
    <w:p>
      <w:pPr>
        <w:pStyle w:val="3"/>
        <w:shd w:val="clear" w:color="auto" w:fill="FFFFFF"/>
        <w:spacing w:before="0" w:beforeAutospacing="0" w:after="0" w:afterAutospacing="0"/>
        <w:ind w:firstLine="480"/>
        <w:jc w:val="center"/>
        <w:rPr>
          <w:rFonts w:ascii="黑体" w:hAnsi="黑体" w:eastAsia="黑体" w:cs="黑体"/>
          <w:b/>
          <w:bCs/>
          <w:color w:val="333333"/>
          <w:spacing w:val="8"/>
          <w:sz w:val="44"/>
          <w:szCs w:val="44"/>
        </w:rPr>
      </w:pPr>
      <w:r>
        <w:rPr>
          <w:rStyle w:val="6"/>
          <w:rFonts w:hint="eastAsia" w:ascii="黑体" w:hAnsi="黑体" w:eastAsia="黑体" w:cs="黑体"/>
          <w:color w:val="333333"/>
          <w:spacing w:val="8"/>
          <w:sz w:val="44"/>
          <w:szCs w:val="44"/>
        </w:rPr>
        <w:t>五原县市场监管领域部门联合</w:t>
      </w:r>
    </w:p>
    <w:p>
      <w:pPr>
        <w:pStyle w:val="3"/>
        <w:shd w:val="clear" w:color="auto" w:fill="FFFFFF"/>
        <w:spacing w:before="0" w:beforeAutospacing="0" w:after="0" w:afterAutospacing="0"/>
        <w:ind w:firstLine="480"/>
        <w:jc w:val="center"/>
        <w:rPr>
          <w:rFonts w:ascii="黑体" w:hAnsi="黑体" w:eastAsia="黑体" w:cs="黑体"/>
          <w:b/>
          <w:bCs/>
          <w:color w:val="333333"/>
          <w:spacing w:val="8"/>
          <w:sz w:val="44"/>
          <w:szCs w:val="44"/>
        </w:rPr>
      </w:pPr>
      <w:r>
        <w:rPr>
          <w:rStyle w:val="6"/>
          <w:rFonts w:hint="eastAsia" w:ascii="黑体" w:hAnsi="黑体" w:eastAsia="黑体" w:cs="黑体"/>
          <w:color w:val="333333"/>
          <w:spacing w:val="8"/>
          <w:sz w:val="44"/>
          <w:szCs w:val="44"/>
        </w:rPr>
        <w:t>“双随机、一公开”监管实施办法</w:t>
      </w:r>
    </w:p>
    <w:p>
      <w:pPr>
        <w:pStyle w:val="3"/>
        <w:shd w:val="clear" w:color="auto" w:fill="FFFFFF"/>
        <w:spacing w:before="0" w:beforeAutospacing="0" w:after="0" w:afterAutospacing="0" w:line="560" w:lineRule="exact"/>
        <w:ind w:firstLine="480"/>
        <w:jc w:val="center"/>
        <w:rPr>
          <w:rFonts w:ascii="仿宋_GB2312" w:hAnsi="仿宋_GB2312" w:eastAsia="仿宋_GB2312" w:cs="仿宋_GB2312"/>
          <w:color w:val="333333"/>
          <w:spacing w:val="8"/>
          <w:sz w:val="32"/>
          <w:szCs w:val="32"/>
        </w:rPr>
      </w:pPr>
    </w:p>
    <w:p>
      <w:pPr>
        <w:pStyle w:val="3"/>
        <w:shd w:val="clear" w:color="auto" w:fill="FFFFFF"/>
        <w:spacing w:before="0" w:beforeAutospacing="0" w:after="0" w:afterAutospacing="0" w:line="560" w:lineRule="exact"/>
        <w:ind w:firstLine="480"/>
        <w:jc w:val="center"/>
        <w:rPr>
          <w:rFonts w:ascii="仿宋_GB2312" w:hAnsi="仿宋_GB2312" w:eastAsia="仿宋_GB2312" w:cs="仿宋_GB2312"/>
          <w:color w:val="333333"/>
          <w:spacing w:val="8"/>
          <w:sz w:val="32"/>
          <w:szCs w:val="32"/>
        </w:rPr>
      </w:pPr>
      <w:r>
        <w:rPr>
          <w:rStyle w:val="6"/>
          <w:rFonts w:hint="eastAsia" w:ascii="仿宋_GB2312" w:hAnsi="仿宋_GB2312" w:eastAsia="仿宋_GB2312" w:cs="仿宋_GB2312"/>
          <w:color w:val="333333"/>
          <w:spacing w:val="8"/>
          <w:sz w:val="32"/>
          <w:szCs w:val="32"/>
        </w:rPr>
        <w:t>第一章</w:t>
      </w:r>
      <w:r>
        <w:rPr>
          <w:rStyle w:val="6"/>
          <w:rFonts w:hint="eastAsia" w:ascii="仿宋_GB2312" w:hAnsi="仿宋_GB2312" w:eastAsia="仿宋_GB2312" w:cs="仿宋_GB2312"/>
          <w:color w:val="333333"/>
          <w:spacing w:val="8"/>
          <w:sz w:val="32"/>
          <w:szCs w:val="32"/>
          <w:lang w:val="en-US" w:eastAsia="zh-CN"/>
        </w:rPr>
        <w:t xml:space="preserve">   </w:t>
      </w:r>
      <w:r>
        <w:rPr>
          <w:rStyle w:val="6"/>
          <w:rFonts w:hint="eastAsia" w:ascii="仿宋_GB2312" w:hAnsi="仿宋_GB2312" w:eastAsia="仿宋_GB2312" w:cs="仿宋_GB2312"/>
          <w:color w:val="333333"/>
          <w:spacing w:val="8"/>
          <w:sz w:val="32"/>
          <w:szCs w:val="32"/>
        </w:rPr>
        <w:t>总</w:t>
      </w:r>
      <w:r>
        <w:rPr>
          <w:rStyle w:val="6"/>
          <w:rFonts w:hint="eastAsia" w:ascii="仿宋_GB2312" w:hAnsi="仿宋_GB2312" w:eastAsia="仿宋_GB2312" w:cs="仿宋_GB2312"/>
          <w:color w:val="333333"/>
          <w:spacing w:val="8"/>
          <w:sz w:val="32"/>
          <w:szCs w:val="32"/>
          <w:lang w:val="en-US" w:eastAsia="zh-CN"/>
        </w:rPr>
        <w:t xml:space="preserve">  </w:t>
      </w:r>
      <w:r>
        <w:rPr>
          <w:rStyle w:val="6"/>
          <w:rFonts w:hint="eastAsia" w:ascii="仿宋_GB2312" w:hAnsi="仿宋_GB2312" w:eastAsia="仿宋_GB2312" w:cs="仿宋_GB2312"/>
          <w:color w:val="333333"/>
          <w:spacing w:val="8"/>
          <w:sz w:val="32"/>
          <w:szCs w:val="32"/>
        </w:rPr>
        <w:t>则</w:t>
      </w:r>
    </w:p>
    <w:p>
      <w:pPr>
        <w:pStyle w:val="3"/>
        <w:shd w:val="clear" w:color="auto" w:fill="FFFFFF"/>
        <w:spacing w:before="0" w:beforeAutospacing="0" w:after="0" w:afterAutospacing="0" w:line="560" w:lineRule="exact"/>
        <w:ind w:firstLine="480"/>
        <w:jc w:val="center"/>
        <w:rPr>
          <w:rFonts w:ascii="仿宋_GB2312" w:hAnsi="仿宋_GB2312" w:eastAsia="仿宋_GB2312" w:cs="仿宋_GB2312"/>
          <w:color w:val="333333"/>
          <w:spacing w:val="8"/>
          <w:sz w:val="32"/>
          <w:szCs w:val="32"/>
        </w:rPr>
      </w:pPr>
    </w:p>
    <w:p>
      <w:pPr>
        <w:pStyle w:val="3"/>
        <w:shd w:val="clear" w:color="auto" w:fill="FFFFFF"/>
        <w:spacing w:before="0" w:beforeAutospacing="0" w:after="0" w:afterAutospacing="0" w:line="560" w:lineRule="exact"/>
        <w:ind w:firstLine="675" w:firstLineChars="200"/>
        <w:rPr>
          <w:rFonts w:ascii="仿宋_GB2312" w:hAnsi="仿宋_GB2312" w:eastAsia="仿宋_GB2312" w:cs="仿宋_GB2312"/>
          <w:color w:val="333333"/>
          <w:spacing w:val="8"/>
          <w:sz w:val="32"/>
          <w:szCs w:val="32"/>
        </w:rPr>
      </w:pPr>
      <w:r>
        <w:rPr>
          <w:rStyle w:val="6"/>
          <w:rFonts w:hint="eastAsia" w:ascii="仿宋_GB2312" w:hAnsi="仿宋_GB2312" w:eastAsia="仿宋_GB2312" w:cs="仿宋_GB2312"/>
          <w:color w:val="333333"/>
          <w:spacing w:val="8"/>
          <w:sz w:val="32"/>
          <w:szCs w:val="32"/>
        </w:rPr>
        <w:t>第一条</w:t>
      </w:r>
      <w:r>
        <w:rPr>
          <w:rFonts w:ascii="仿宋_GB2312" w:hAnsi="仿宋_GB2312" w:eastAsia="仿宋_GB2312" w:cs="仿宋_GB2312"/>
          <w:color w:val="333333"/>
          <w:spacing w:val="8"/>
          <w:sz w:val="32"/>
          <w:szCs w:val="32"/>
        </w:rPr>
        <w:t xml:space="preserve">  </w:t>
      </w:r>
      <w:r>
        <w:rPr>
          <w:rFonts w:hint="eastAsia" w:ascii="仿宋_GB2312" w:hAnsi="仿宋_GB2312" w:eastAsia="仿宋_GB2312" w:cs="仿宋_GB2312"/>
          <w:color w:val="333333"/>
          <w:spacing w:val="8"/>
          <w:sz w:val="32"/>
          <w:szCs w:val="32"/>
        </w:rPr>
        <w:t>根据《国务院关于在市场监管领域全面推行部门联合“双随机、一公开”监管的意见》</w:t>
      </w:r>
      <w:r>
        <w:rPr>
          <w:rFonts w:ascii="仿宋_GB2312" w:hAnsi="仿宋_GB2312" w:eastAsia="仿宋_GB2312" w:cs="仿宋_GB2312"/>
          <w:color w:val="333333"/>
          <w:spacing w:val="8"/>
          <w:sz w:val="32"/>
          <w:szCs w:val="32"/>
        </w:rPr>
        <w:t>(</w:t>
      </w:r>
      <w:r>
        <w:rPr>
          <w:rFonts w:hint="eastAsia" w:ascii="仿宋_GB2312" w:hAnsi="仿宋_GB2312" w:eastAsia="仿宋_GB2312" w:cs="仿宋_GB2312"/>
          <w:color w:val="333333"/>
          <w:spacing w:val="8"/>
          <w:sz w:val="32"/>
          <w:szCs w:val="32"/>
        </w:rPr>
        <w:t>国发〔</w:t>
      </w:r>
      <w:r>
        <w:rPr>
          <w:rFonts w:ascii="仿宋_GB2312" w:hAnsi="仿宋_GB2312" w:eastAsia="仿宋_GB2312" w:cs="仿宋_GB2312"/>
          <w:color w:val="333333"/>
          <w:spacing w:val="8"/>
          <w:sz w:val="32"/>
          <w:szCs w:val="32"/>
        </w:rPr>
        <w:t>2019</w:t>
      </w:r>
      <w:r>
        <w:rPr>
          <w:rFonts w:hint="eastAsia" w:ascii="仿宋_GB2312" w:hAnsi="仿宋_GB2312" w:eastAsia="仿宋_GB2312" w:cs="仿宋_GB2312"/>
          <w:color w:val="333333"/>
          <w:spacing w:val="8"/>
          <w:sz w:val="32"/>
          <w:szCs w:val="32"/>
        </w:rPr>
        <w:t>〕</w:t>
      </w:r>
      <w:r>
        <w:rPr>
          <w:rFonts w:ascii="仿宋_GB2312" w:hAnsi="仿宋_GB2312" w:eastAsia="仿宋_GB2312" w:cs="仿宋_GB2312"/>
          <w:color w:val="333333"/>
          <w:spacing w:val="8"/>
          <w:sz w:val="32"/>
          <w:szCs w:val="32"/>
        </w:rPr>
        <w:t>5</w:t>
      </w:r>
      <w:r>
        <w:rPr>
          <w:rFonts w:hint="eastAsia" w:ascii="仿宋_GB2312" w:hAnsi="仿宋_GB2312" w:eastAsia="仿宋_GB2312" w:cs="仿宋_GB2312"/>
          <w:color w:val="333333"/>
          <w:spacing w:val="8"/>
          <w:sz w:val="32"/>
          <w:szCs w:val="32"/>
        </w:rPr>
        <w:t>号</w:t>
      </w:r>
      <w:r>
        <w:rPr>
          <w:rFonts w:ascii="仿宋_GB2312" w:hAnsi="仿宋_GB2312" w:eastAsia="仿宋_GB2312" w:cs="仿宋_GB2312"/>
          <w:color w:val="333333"/>
          <w:spacing w:val="8"/>
          <w:sz w:val="32"/>
          <w:szCs w:val="32"/>
        </w:rPr>
        <w:t>)</w:t>
      </w:r>
      <w:r>
        <w:rPr>
          <w:rFonts w:hint="eastAsia" w:ascii="仿宋_GB2312" w:hAnsi="仿宋_GB2312" w:eastAsia="仿宋_GB2312" w:cs="仿宋_GB2312"/>
          <w:color w:val="333333"/>
          <w:spacing w:val="8"/>
          <w:sz w:val="32"/>
          <w:szCs w:val="32"/>
        </w:rPr>
        <w:t>以及内蒙古自治区人民政府关于印发《内蒙古自治区市场监管领域部门联合“双随机、一公开”监管实施办法》的通知（内政发〔</w:t>
      </w:r>
      <w:r>
        <w:rPr>
          <w:rFonts w:ascii="仿宋_GB2312" w:hAnsi="仿宋_GB2312" w:eastAsia="仿宋_GB2312" w:cs="仿宋_GB2312"/>
          <w:color w:val="333333"/>
          <w:spacing w:val="8"/>
          <w:sz w:val="32"/>
          <w:szCs w:val="32"/>
        </w:rPr>
        <w:t>2019</w:t>
      </w:r>
      <w:r>
        <w:rPr>
          <w:rFonts w:hint="eastAsia" w:ascii="仿宋_GB2312" w:hAnsi="仿宋_GB2312" w:eastAsia="仿宋_GB2312" w:cs="仿宋_GB2312"/>
          <w:color w:val="333333"/>
          <w:spacing w:val="8"/>
          <w:sz w:val="32"/>
          <w:szCs w:val="32"/>
        </w:rPr>
        <w:t>〕</w:t>
      </w:r>
      <w:r>
        <w:rPr>
          <w:rFonts w:ascii="仿宋_GB2312" w:hAnsi="仿宋_GB2312" w:eastAsia="仿宋_GB2312" w:cs="仿宋_GB2312"/>
          <w:color w:val="333333"/>
          <w:spacing w:val="8"/>
          <w:sz w:val="32"/>
          <w:szCs w:val="32"/>
        </w:rPr>
        <w:t>10</w:t>
      </w:r>
      <w:r>
        <w:rPr>
          <w:rFonts w:hint="eastAsia" w:ascii="仿宋_GB2312" w:hAnsi="仿宋_GB2312" w:eastAsia="仿宋_GB2312" w:cs="仿宋_GB2312"/>
          <w:color w:val="333333"/>
          <w:spacing w:val="8"/>
          <w:sz w:val="32"/>
          <w:szCs w:val="32"/>
        </w:rPr>
        <w:t>号）等有关文件精神，为全面推行“双随机、一公开”监管机制，加快政府职能转变，优化营商环境，结合五原县实际，制定本办法。</w:t>
      </w:r>
    </w:p>
    <w:p>
      <w:pPr>
        <w:pStyle w:val="3"/>
        <w:shd w:val="clear" w:color="auto" w:fill="FFFFFF"/>
        <w:spacing w:before="0" w:beforeAutospacing="0" w:after="0" w:afterAutospacing="0" w:line="560" w:lineRule="exact"/>
        <w:ind w:firstLine="675" w:firstLineChars="200"/>
        <w:rPr>
          <w:rFonts w:ascii="仿宋_GB2312" w:hAnsi="仿宋_GB2312" w:eastAsia="仿宋_GB2312" w:cs="仿宋_GB2312"/>
          <w:color w:val="333333"/>
          <w:spacing w:val="8"/>
          <w:sz w:val="32"/>
          <w:szCs w:val="32"/>
        </w:rPr>
      </w:pPr>
      <w:r>
        <w:rPr>
          <w:rStyle w:val="6"/>
          <w:rFonts w:hint="eastAsia" w:ascii="仿宋_GB2312" w:hAnsi="仿宋_GB2312" w:eastAsia="仿宋_GB2312" w:cs="仿宋_GB2312"/>
          <w:color w:val="333333"/>
          <w:spacing w:val="8"/>
          <w:sz w:val="32"/>
          <w:szCs w:val="32"/>
        </w:rPr>
        <w:t>第二条</w:t>
      </w:r>
      <w:r>
        <w:rPr>
          <w:rFonts w:ascii="仿宋_GB2312" w:hAnsi="仿宋_GB2312" w:eastAsia="仿宋_GB2312" w:cs="仿宋_GB2312"/>
          <w:color w:val="333333"/>
          <w:spacing w:val="8"/>
          <w:sz w:val="32"/>
          <w:szCs w:val="32"/>
        </w:rPr>
        <w:t xml:space="preserve">  </w:t>
      </w:r>
      <w:r>
        <w:rPr>
          <w:rFonts w:hint="eastAsia" w:ascii="仿宋_GB2312" w:hAnsi="仿宋_GB2312" w:eastAsia="仿宋_GB2312" w:cs="仿宋_GB2312"/>
          <w:color w:val="333333"/>
          <w:spacing w:val="8"/>
          <w:sz w:val="32"/>
          <w:szCs w:val="32"/>
        </w:rPr>
        <w:t>五原县行政区域内市场监管领域承担监管职能的部门实施部门联合“双随机、一公开”监管适用本办法。</w:t>
      </w:r>
    </w:p>
    <w:p>
      <w:pPr>
        <w:pStyle w:val="3"/>
        <w:shd w:val="clear" w:color="auto" w:fill="FFFFFF"/>
        <w:spacing w:before="0" w:beforeAutospacing="0" w:after="0" w:afterAutospacing="0" w:line="560" w:lineRule="exact"/>
        <w:ind w:firstLine="672" w:firstLineChars="200"/>
        <w:rPr>
          <w:rFonts w:ascii="仿宋_GB2312" w:hAnsi="仿宋_GB2312" w:eastAsia="仿宋_GB2312" w:cs="仿宋_GB2312"/>
          <w:color w:val="333333"/>
          <w:spacing w:val="8"/>
          <w:sz w:val="32"/>
          <w:szCs w:val="32"/>
        </w:rPr>
      </w:pPr>
      <w:r>
        <w:rPr>
          <w:rFonts w:hint="eastAsia" w:ascii="仿宋_GB2312" w:hAnsi="仿宋_GB2312" w:eastAsia="仿宋_GB2312" w:cs="仿宋_GB2312"/>
          <w:color w:val="333333"/>
          <w:spacing w:val="8"/>
          <w:sz w:val="32"/>
          <w:szCs w:val="32"/>
        </w:rPr>
        <w:t>对特殊重点领域，国务院、国家有关部委和自治区人民政府有明确要求的，通过投诉举报、转办交办、数据监测等发现的违法违规个案线索，其他部门移送的案件线索，以及其他法律法规有特别规定，需要实施专项检查的，不适用本办法。</w:t>
      </w:r>
    </w:p>
    <w:p>
      <w:pPr>
        <w:pStyle w:val="3"/>
        <w:shd w:val="clear" w:color="auto" w:fill="FFFFFF"/>
        <w:spacing w:before="0" w:beforeAutospacing="0" w:after="0" w:afterAutospacing="0" w:line="560" w:lineRule="exact"/>
        <w:ind w:firstLine="675" w:firstLineChars="200"/>
        <w:rPr>
          <w:rFonts w:ascii="仿宋_GB2312" w:hAnsi="仿宋_GB2312" w:eastAsia="仿宋_GB2312" w:cs="仿宋_GB2312"/>
          <w:color w:val="333333"/>
          <w:spacing w:val="8"/>
          <w:sz w:val="32"/>
          <w:szCs w:val="32"/>
        </w:rPr>
      </w:pPr>
      <w:r>
        <w:rPr>
          <w:rStyle w:val="6"/>
          <w:rFonts w:hint="eastAsia" w:ascii="仿宋_GB2312" w:hAnsi="仿宋_GB2312" w:eastAsia="仿宋_GB2312" w:cs="仿宋_GB2312"/>
          <w:color w:val="333333"/>
          <w:spacing w:val="8"/>
          <w:sz w:val="32"/>
          <w:szCs w:val="32"/>
        </w:rPr>
        <w:t>第三条</w:t>
      </w:r>
      <w:r>
        <w:rPr>
          <w:rFonts w:ascii="仿宋_GB2312" w:hAnsi="仿宋_GB2312" w:eastAsia="仿宋_GB2312" w:cs="仿宋_GB2312"/>
          <w:color w:val="333333"/>
          <w:spacing w:val="8"/>
          <w:sz w:val="32"/>
          <w:szCs w:val="32"/>
        </w:rPr>
        <w:t xml:space="preserve">  </w:t>
      </w:r>
      <w:r>
        <w:rPr>
          <w:rFonts w:hint="eastAsia" w:ascii="仿宋_GB2312" w:hAnsi="仿宋_GB2312" w:eastAsia="仿宋_GB2312" w:cs="仿宋_GB2312"/>
          <w:color w:val="333333"/>
          <w:spacing w:val="8"/>
          <w:sz w:val="32"/>
          <w:szCs w:val="32"/>
        </w:rPr>
        <w:t>本办法所称部门联合“双随机、一公开”监管，是指市场监管领域承担监管职能的部门按照“双随机、一公开”监管工作要求，统筹制定联合抽查工作计划，依法制定联合抽查事项清单，在检查对象名录库中随机抽取一定比例的被检查对象，在执法检查人员名录库中随机选派执法检查人员，由多个部门对随机抽取到的同一被检查对象的多个检查事项，原则上一次性完成检查，及时公示抽查检查结果的市场监管行为。</w:t>
      </w:r>
    </w:p>
    <w:p>
      <w:pPr>
        <w:pStyle w:val="3"/>
        <w:shd w:val="clear" w:color="auto" w:fill="FFFFFF"/>
        <w:spacing w:before="0" w:beforeAutospacing="0" w:after="0" w:afterAutospacing="0" w:line="560" w:lineRule="exact"/>
        <w:ind w:firstLine="675" w:firstLineChars="200"/>
        <w:rPr>
          <w:rFonts w:ascii="仿宋_GB2312" w:hAnsi="仿宋_GB2312" w:eastAsia="仿宋_GB2312" w:cs="仿宋_GB2312"/>
          <w:color w:val="333333"/>
          <w:spacing w:val="8"/>
          <w:sz w:val="32"/>
          <w:szCs w:val="32"/>
        </w:rPr>
      </w:pPr>
      <w:r>
        <w:rPr>
          <w:rStyle w:val="6"/>
          <w:rFonts w:hint="eastAsia" w:ascii="仿宋_GB2312" w:hAnsi="仿宋_GB2312" w:eastAsia="仿宋_GB2312" w:cs="仿宋_GB2312"/>
          <w:color w:val="333333"/>
          <w:spacing w:val="8"/>
          <w:sz w:val="32"/>
          <w:szCs w:val="32"/>
        </w:rPr>
        <w:t>第四条</w:t>
      </w:r>
      <w:r>
        <w:rPr>
          <w:rStyle w:val="6"/>
          <w:rFonts w:ascii="仿宋_GB2312" w:hAnsi="仿宋_GB2312" w:eastAsia="仿宋_GB2312" w:cs="仿宋_GB2312"/>
          <w:color w:val="333333"/>
          <w:spacing w:val="8"/>
          <w:sz w:val="32"/>
          <w:szCs w:val="32"/>
        </w:rPr>
        <w:t> </w:t>
      </w:r>
      <w:r>
        <w:rPr>
          <w:rStyle w:val="9"/>
          <w:rFonts w:ascii="仿宋_GB2312" w:hAnsi="仿宋_GB2312" w:eastAsia="仿宋_GB2312" w:cs="仿宋_GB2312"/>
          <w:color w:val="333333"/>
          <w:spacing w:val="8"/>
          <w:sz w:val="32"/>
          <w:szCs w:val="32"/>
        </w:rPr>
        <w:t> </w:t>
      </w:r>
      <w:r>
        <w:rPr>
          <w:rFonts w:hint="eastAsia" w:ascii="仿宋_GB2312" w:hAnsi="仿宋_GB2312" w:eastAsia="仿宋_GB2312" w:cs="仿宋_GB2312"/>
          <w:color w:val="333333"/>
          <w:spacing w:val="8"/>
          <w:sz w:val="32"/>
          <w:szCs w:val="32"/>
        </w:rPr>
        <w:t>“双随机、一公开”监管应坚持依法实施、公平公正、公开透明、高效便民的原则。</w:t>
      </w:r>
    </w:p>
    <w:p>
      <w:pPr>
        <w:pStyle w:val="3"/>
        <w:shd w:val="clear" w:color="auto" w:fill="FFFFFF"/>
        <w:spacing w:before="0" w:beforeAutospacing="0" w:after="0" w:afterAutospacing="0" w:line="560" w:lineRule="exact"/>
        <w:ind w:firstLine="675" w:firstLineChars="200"/>
        <w:rPr>
          <w:rFonts w:ascii="仿宋_GB2312" w:hAnsi="仿宋_GB2312" w:eastAsia="仿宋_GB2312" w:cs="仿宋_GB2312"/>
          <w:color w:val="333333"/>
          <w:spacing w:val="8"/>
          <w:sz w:val="32"/>
          <w:szCs w:val="32"/>
        </w:rPr>
      </w:pPr>
      <w:r>
        <w:rPr>
          <w:rStyle w:val="6"/>
          <w:rFonts w:hint="eastAsia" w:ascii="仿宋_GB2312" w:hAnsi="仿宋_GB2312" w:eastAsia="仿宋_GB2312" w:cs="仿宋_GB2312"/>
          <w:color w:val="333333"/>
          <w:spacing w:val="8"/>
          <w:sz w:val="32"/>
          <w:szCs w:val="32"/>
        </w:rPr>
        <w:t>第五条</w:t>
      </w:r>
      <w:r>
        <w:rPr>
          <w:rFonts w:ascii="仿宋_GB2312" w:hAnsi="仿宋_GB2312" w:eastAsia="仿宋_GB2312" w:cs="仿宋_GB2312"/>
          <w:color w:val="333333"/>
          <w:spacing w:val="8"/>
          <w:sz w:val="32"/>
          <w:szCs w:val="32"/>
        </w:rPr>
        <w:t xml:space="preserve">  </w:t>
      </w:r>
      <w:r>
        <w:fldChar w:fldCharType="begin"/>
      </w:r>
      <w:r>
        <w:instrText xml:space="preserve"> HYPERLINK "http://59.196.244.10:100/blspLicense/javascript:goToLogin('%E4%B9%8C%E6%8B%89%E7%89%B9%E4%B8%AD%E6%97%97%E5%B8%82%E5%9C%BA%E7%9B%91%E7%9D%A3%E7%AE%A1%E7%90%86%E5%B1%80');" </w:instrText>
      </w:r>
      <w:r>
        <w:fldChar w:fldCharType="separate"/>
      </w:r>
      <w:r>
        <w:rPr>
          <w:rFonts w:hint="eastAsia" w:ascii="仿宋_GB2312" w:hAnsi="仿宋_GB2312" w:eastAsia="仿宋_GB2312" w:cs="仿宋_GB2312"/>
          <w:sz w:val="32"/>
          <w:szCs w:val="32"/>
        </w:rPr>
        <w:t>市场监管</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w:t>
      </w:r>
      <w:r>
        <w:fldChar w:fldCharType="begin"/>
      </w:r>
      <w:r>
        <w:instrText xml:space="preserve"> HYPERLINK "http://59.196.244.10:100/blspLicense/javascript:goToLogin('%E5%86%85%E8%92%99%E5%8F%A4%E8%87%AA%E6%B2%BB%E5%8C%BA%E4%B9%8C%E6%8B%89%E7%89%B9%E4%B8%AD%E6%97%97%E6%B0%94%E8%B1%A1%E5%B1%80');" </w:instrText>
      </w:r>
      <w:r>
        <w:fldChar w:fldCharType="separate"/>
      </w:r>
      <w:r>
        <w:rPr>
          <w:rFonts w:hint="eastAsia" w:ascii="仿宋_GB2312" w:hAnsi="仿宋_GB2312" w:eastAsia="仿宋_GB2312" w:cs="仿宋_GB2312"/>
          <w:sz w:val="32"/>
          <w:szCs w:val="32"/>
        </w:rPr>
        <w:t>气象</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w:t>
      </w:r>
      <w:r>
        <w:fldChar w:fldCharType="begin"/>
      </w:r>
      <w:r>
        <w:instrText xml:space="preserve"> HYPERLINK "http://59.196.244.10:100/blspLicense/javascript:goToLogin('%E4%B9%8C%E6%8B%89%E7%89%B9%E4%B8%AD%E6%97%97%E5%BA%94%E6%80%A5%E7%AE%A1%E7%90%86%E5%B1%80');" </w:instrText>
      </w:r>
      <w:r>
        <w:fldChar w:fldCharType="separate"/>
      </w:r>
      <w:r>
        <w:rPr>
          <w:rFonts w:hint="eastAsia" w:ascii="仿宋_GB2312" w:hAnsi="仿宋_GB2312" w:eastAsia="仿宋_GB2312" w:cs="仿宋_GB2312"/>
          <w:sz w:val="32"/>
          <w:szCs w:val="32"/>
        </w:rPr>
        <w:t>应急管理</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w:t>
      </w:r>
      <w:r>
        <w:fldChar w:fldCharType="begin"/>
      </w:r>
      <w:r>
        <w:instrText xml:space="preserve"> HYPERLINK "http://59.196.244.10:100/blspLicense/javascript:goToLogin('%E4%B9%8C%E6%8B%89%E7%89%B9%E4%B8%AD%E6%97%97%E8%87%AA%E7%84%B6%E8%B5%84%E6%BA%90%E5%B1%80');" </w:instrText>
      </w:r>
      <w:r>
        <w:fldChar w:fldCharType="separate"/>
      </w:r>
      <w:r>
        <w:rPr>
          <w:rFonts w:hint="eastAsia" w:ascii="仿宋_GB2312" w:hAnsi="仿宋_GB2312" w:eastAsia="仿宋_GB2312" w:cs="仿宋_GB2312"/>
          <w:sz w:val="32"/>
          <w:szCs w:val="32"/>
        </w:rPr>
        <w:t>自然资源</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w:t>
      </w:r>
      <w:r>
        <w:fldChar w:fldCharType="begin"/>
      </w:r>
      <w:r>
        <w:instrText xml:space="preserve"> HYPERLINK "http://59.196.244.10:100/blspLicense/javascript:goToLogin('%E5%B7%B4%E5%BD%A6%E6%B7%96%E5%B0%94%E5%B8%82%E4%B9%8C%E6%8B%89%E7%89%B9%E4%B8%AD%E6%97%97%E6%B0%91%E6%94%BF%E5%B1%80');" </w:instrText>
      </w:r>
      <w:r>
        <w:fldChar w:fldCharType="separate"/>
      </w:r>
      <w:r>
        <w:rPr>
          <w:rFonts w:hint="eastAsia" w:ascii="仿宋_GB2312" w:hAnsi="仿宋_GB2312" w:eastAsia="仿宋_GB2312" w:cs="仿宋_GB2312"/>
          <w:sz w:val="32"/>
          <w:szCs w:val="32"/>
        </w:rPr>
        <w:t>民政</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w:t>
      </w:r>
      <w:r>
        <w:fldChar w:fldCharType="begin"/>
      </w:r>
      <w:r>
        <w:instrText xml:space="preserve"> HYPERLINK "http://59.196.244.10:100/blspLicense/javascript:goToLogin('%E5%B7%B4%E5%BD%A6%E6%B7%96%E5%B0%94%E5%B8%82%E4%B9%8C%E6%8B%89%E7%89%B9%E4%B8%AD%E6%97%97%E8%B4%A2%E6%94%BF%E5%B1%80');" </w:instrText>
      </w:r>
      <w:r>
        <w:fldChar w:fldCharType="separate"/>
      </w:r>
      <w:r>
        <w:rPr>
          <w:rFonts w:hint="eastAsia" w:ascii="仿宋_GB2312" w:hAnsi="仿宋_GB2312" w:eastAsia="仿宋_GB2312" w:cs="仿宋_GB2312"/>
          <w:sz w:val="32"/>
          <w:szCs w:val="32"/>
        </w:rPr>
        <w:t>财政、</w:t>
      </w:r>
      <w:r>
        <w:rPr>
          <w:rFonts w:hint="eastAsia" w:ascii="仿宋_GB2312" w:hAnsi="仿宋_GB2312" w:eastAsia="仿宋_GB2312" w:cs="仿宋_GB2312"/>
          <w:sz w:val="32"/>
          <w:szCs w:val="32"/>
        </w:rPr>
        <w:fldChar w:fldCharType="end"/>
      </w:r>
      <w:r>
        <w:fldChar w:fldCharType="begin"/>
      </w:r>
      <w:r>
        <w:instrText xml:space="preserve"> HYPERLINK "http://59.196.244.10:100/blspLicense/javascript:goToLogin('%E4%B9%8C%E6%8B%89%E7%89%B9%E4%B8%AD%E6%97%97%E5%8F%91%E5%B1%95%E5%92%8C%E6%94%B9%E9%9D%A9%E5%A7%94%E5%91%98%E4%BC%9A');" </w:instrText>
      </w:r>
      <w:r>
        <w:fldChar w:fldCharType="separate"/>
      </w:r>
      <w:r>
        <w:rPr>
          <w:rFonts w:hint="eastAsia" w:ascii="仿宋_GB2312" w:hAnsi="仿宋_GB2312" w:eastAsia="仿宋_GB2312" w:cs="仿宋_GB2312"/>
          <w:sz w:val="32"/>
          <w:szCs w:val="32"/>
        </w:rPr>
        <w:t>发展和改革</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w:t>
      </w:r>
      <w:r>
        <w:fldChar w:fldCharType="begin"/>
      </w:r>
      <w:r>
        <w:instrText xml:space="preserve"> HYPERLINK "http://59.196.244.10:100/blspLicense/javascript:goToLogin('%E5%B7%B4%E5%BD%A6%E6%B7%96%E5%B0%94%E5%B8%82%E4%B9%8C%E6%8B%89%E7%89%B9%E4%B8%AD%E6%97%97%E4%BA%BA%E5%8A%9B%E8%B5%84%E6%BA%90%E7%A4%BE%E4%BC%9A%E4%BF%9D%E9%9A%9C%E5%B1%80');" </w:instrText>
      </w:r>
      <w:r>
        <w:fldChar w:fldCharType="separate"/>
      </w:r>
      <w:r>
        <w:rPr>
          <w:rFonts w:hint="eastAsia" w:ascii="仿宋_GB2312" w:hAnsi="仿宋_GB2312" w:eastAsia="仿宋_GB2312" w:cs="仿宋_GB2312"/>
          <w:sz w:val="32"/>
          <w:szCs w:val="32"/>
        </w:rPr>
        <w:t>人力资源社会保障</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w:t>
      </w:r>
      <w:r>
        <w:fldChar w:fldCharType="begin"/>
      </w:r>
      <w:r>
        <w:instrText xml:space="preserve"> HYPERLINK "http://59.196.244.10:100/blspLicense/javascript:goToLogin('%E4%B9%8C%E6%8B%89%E7%89%B9%E4%B8%AD%E6%97%97%E6%95%99%E8%82%B2%E5%B1%80');" </w:instrText>
      </w:r>
      <w:r>
        <w:fldChar w:fldCharType="separate"/>
      </w:r>
      <w:r>
        <w:rPr>
          <w:rFonts w:hint="eastAsia" w:ascii="仿宋_GB2312" w:hAnsi="仿宋_GB2312" w:eastAsia="仿宋_GB2312" w:cs="仿宋_GB2312"/>
          <w:sz w:val="32"/>
          <w:szCs w:val="32"/>
        </w:rPr>
        <w:t>教育</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w:t>
      </w:r>
      <w:r>
        <w:fldChar w:fldCharType="begin"/>
      </w:r>
      <w:r>
        <w:instrText xml:space="preserve"> HYPERLINK "http://59.196.244.10:100/blspLicense/javascript:goToLogin('%E4%B9%8C%E6%8B%89%E7%89%B9%E4%B8%AD%E6%97%97%E6%96%87%E4%BD%93%E6%97%85%E6%B8%B8%E5%B9%BF%E7%94%B5%E5%B1%80');" </w:instrText>
      </w:r>
      <w:r>
        <w:fldChar w:fldCharType="separate"/>
      </w:r>
      <w:r>
        <w:rPr>
          <w:rFonts w:hint="eastAsia" w:ascii="仿宋_GB2312" w:hAnsi="仿宋_GB2312" w:eastAsia="仿宋_GB2312" w:cs="仿宋_GB2312"/>
          <w:sz w:val="32"/>
          <w:szCs w:val="32"/>
        </w:rPr>
        <w:t>文体旅游广电</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w:t>
      </w:r>
      <w:r>
        <w:fldChar w:fldCharType="begin"/>
      </w:r>
      <w:r>
        <w:instrText xml:space="preserve"> HYPERLINK "http://59.196.244.10:100/blspLicense/javascript:goToLogin('%E4%B9%8C%E6%8B%89%E7%89%B9%E4%B8%AD%E6%97%97%E5%8D%AB%E7%94%9F%E5%81%A5%E5%BA%B7%E5%A7%94%E5%91%98%E4%BC%9A');" </w:instrText>
      </w:r>
      <w:r>
        <w:fldChar w:fldCharType="separate"/>
      </w:r>
      <w:r>
        <w:rPr>
          <w:rFonts w:hint="eastAsia" w:ascii="仿宋_GB2312" w:hAnsi="仿宋_GB2312" w:eastAsia="仿宋_GB2312" w:cs="仿宋_GB2312"/>
          <w:sz w:val="32"/>
          <w:szCs w:val="32"/>
        </w:rPr>
        <w:t>卫生健康</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w:t>
      </w:r>
      <w:r>
        <w:fldChar w:fldCharType="begin"/>
      </w:r>
      <w:r>
        <w:instrText xml:space="preserve"> HYPERLINK "http://59.196.244.10:100/blspLicense/javascript:goToLogin('%E4%B9%8C%E6%8B%89%E7%89%B9%E4%B8%AD%E6%97%97%E4%BD%8F%E6%88%BF%E5%92%8C%E5%9F%8E%E4%B9%A1%E5%BB%BA%E8%AE%BE%E5%B1%80');" </w:instrText>
      </w:r>
      <w:r>
        <w:fldChar w:fldCharType="separate"/>
      </w:r>
      <w:r>
        <w:rPr>
          <w:rFonts w:hint="eastAsia" w:ascii="仿宋_GB2312" w:hAnsi="仿宋_GB2312" w:eastAsia="仿宋_GB2312" w:cs="仿宋_GB2312"/>
          <w:sz w:val="32"/>
          <w:szCs w:val="32"/>
        </w:rPr>
        <w:t>住建</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w:t>
      </w:r>
      <w:r>
        <w:fldChar w:fldCharType="begin"/>
      </w:r>
      <w:r>
        <w:instrText xml:space="preserve"> HYPERLINK "http://59.196.244.10:100/blspLicense/javascript:goToLogin('%E5%B7%B4%E5%BD%A6%E6%B7%96%E5%B0%94%E5%B8%82%E4%B9%8C%E6%8B%89%E7%89%B9%E4%B8%AD%E6%97%97%E4%BA%A4%E9%80%9A%E8%BF%90%E8%BE%93%E5%B1%80');" </w:instrText>
      </w:r>
      <w:r>
        <w:fldChar w:fldCharType="separate"/>
      </w:r>
      <w:r>
        <w:rPr>
          <w:rFonts w:hint="eastAsia" w:ascii="仿宋_GB2312" w:hAnsi="仿宋_GB2312" w:eastAsia="仿宋_GB2312" w:cs="仿宋_GB2312"/>
          <w:sz w:val="32"/>
          <w:szCs w:val="32"/>
        </w:rPr>
        <w:t>交通运输、</w:t>
      </w:r>
      <w:r>
        <w:rPr>
          <w:rFonts w:hint="eastAsia" w:ascii="仿宋_GB2312" w:hAnsi="仿宋_GB2312" w:eastAsia="仿宋_GB2312" w:cs="仿宋_GB2312"/>
          <w:sz w:val="32"/>
          <w:szCs w:val="32"/>
        </w:rPr>
        <w:fldChar w:fldCharType="end"/>
      </w:r>
      <w:r>
        <w:fldChar w:fldCharType="begin"/>
      </w:r>
      <w:r>
        <w:instrText xml:space="preserve"> HYPERLINK "http://59.196.244.10:100/blspLicense/javascript:goToLogin('%E4%B9%8C%E6%8B%89%E7%89%B9%E4%B8%AD%E6%97%97%E6%B0%B4%E5%88%A9%E5%B1%80');" </w:instrText>
      </w:r>
      <w:r>
        <w:fldChar w:fldCharType="separate"/>
      </w:r>
      <w:r>
        <w:rPr>
          <w:rFonts w:hint="eastAsia" w:ascii="仿宋_GB2312" w:hAnsi="仿宋_GB2312" w:eastAsia="仿宋_GB2312" w:cs="仿宋_GB2312"/>
          <w:sz w:val="32"/>
          <w:szCs w:val="32"/>
        </w:rPr>
        <w:t>水利</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w:t>
      </w:r>
      <w:r>
        <w:fldChar w:fldCharType="begin"/>
      </w:r>
      <w:r>
        <w:instrText xml:space="preserve"> HYPERLINK "http://59.196.244.10:100/blspLicense/javascript:goToLogin('%E5%B7%B4%E5%BD%A6%E6%B7%96%E5%B0%94%E5%B8%82%E4%B9%8C%E6%8B%89%E7%89%B9%E4%B8%AD%E6%97%97%E5%AE%A1%E8%AE%A1%E5%B1%80');" </w:instrText>
      </w:r>
      <w:r>
        <w:fldChar w:fldCharType="separate"/>
      </w:r>
      <w:r>
        <w:rPr>
          <w:rFonts w:hint="eastAsia" w:ascii="仿宋_GB2312" w:hAnsi="仿宋_GB2312" w:eastAsia="仿宋_GB2312" w:cs="仿宋_GB2312"/>
          <w:sz w:val="32"/>
          <w:szCs w:val="32"/>
        </w:rPr>
        <w:t>审计、</w:t>
      </w:r>
      <w:r>
        <w:rPr>
          <w:rFonts w:hint="eastAsia" w:ascii="仿宋_GB2312" w:hAnsi="仿宋_GB2312" w:eastAsia="仿宋_GB2312" w:cs="仿宋_GB2312"/>
          <w:sz w:val="32"/>
          <w:szCs w:val="32"/>
        </w:rPr>
        <w:fldChar w:fldCharType="end"/>
      </w:r>
      <w:r>
        <w:fldChar w:fldCharType="begin"/>
      </w:r>
      <w:r>
        <w:instrText xml:space="preserve"> HYPERLINK "http://59.196.244.10:100/blspLicense/javascript:goToLogin('%E5%B7%B4%E5%BD%A6%E6%B7%96%E5%B0%94%E5%B8%82%E4%B9%8C%E6%8B%89%E7%89%B9%E4%B8%AD%E6%97%97%E7%BB%9F%E8%AE%A1%E5%B1%80');" </w:instrText>
      </w:r>
      <w:r>
        <w:fldChar w:fldCharType="separate"/>
      </w:r>
      <w:r>
        <w:rPr>
          <w:rFonts w:hint="eastAsia" w:ascii="仿宋_GB2312" w:hAnsi="仿宋_GB2312" w:eastAsia="仿宋_GB2312" w:cs="仿宋_GB2312"/>
          <w:sz w:val="32"/>
          <w:szCs w:val="32"/>
        </w:rPr>
        <w:t>统计</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w:t>
      </w:r>
      <w:r>
        <w:fldChar w:fldCharType="begin"/>
      </w:r>
      <w:r>
        <w:instrText xml:space="preserve"> HYPERLINK "http://59.196.244.10:100/blspLicense/javascript:goToLogin('%E5%B7%B4%E5%BD%A6%E6%B7%96%E5%B0%94%E5%B8%82%E4%B9%8C%E6%8B%89%E7%89%B9%E4%B8%AD%E6%97%97%E5%85%AC%E5%AE%89%E5%B1%80');" </w:instrText>
      </w:r>
      <w:r>
        <w:fldChar w:fldCharType="separate"/>
      </w:r>
      <w:r>
        <w:rPr>
          <w:rFonts w:hint="eastAsia" w:ascii="仿宋_GB2312" w:hAnsi="仿宋_GB2312" w:eastAsia="仿宋_GB2312" w:cs="仿宋_GB2312"/>
          <w:sz w:val="32"/>
          <w:szCs w:val="32"/>
        </w:rPr>
        <w:t>公安、</w:t>
      </w:r>
      <w:r>
        <w:rPr>
          <w:rFonts w:hint="eastAsia" w:ascii="仿宋_GB2312" w:hAnsi="仿宋_GB2312" w:eastAsia="仿宋_GB2312" w:cs="仿宋_GB2312"/>
          <w:sz w:val="32"/>
          <w:szCs w:val="32"/>
        </w:rPr>
        <w:fldChar w:fldCharType="end"/>
      </w:r>
      <w:r>
        <w:fldChar w:fldCharType="begin"/>
      </w:r>
      <w:r>
        <w:instrText xml:space="preserve"> HYPERLINK "http://59.196.244.10:100/blspLicense/javascript:goToLogin('%E5%B7%B4%E5%BD%A6%E6%B7%96%E5%B0%94%E5%B8%82%E4%B9%8C%E6%8B%89%E7%89%B9%E4%B8%AD%E6%97%97%E5%8F%B8%E6%B3%95%E5%B1%80');" </w:instrText>
      </w:r>
      <w:r>
        <w:fldChar w:fldCharType="separate"/>
      </w:r>
      <w:r>
        <w:rPr>
          <w:rFonts w:hint="eastAsia" w:ascii="仿宋_GB2312" w:hAnsi="仿宋_GB2312" w:eastAsia="仿宋_GB2312" w:cs="仿宋_GB2312"/>
          <w:sz w:val="32"/>
          <w:szCs w:val="32"/>
        </w:rPr>
        <w:t>司法、</w:t>
      </w:r>
      <w:r>
        <w:rPr>
          <w:rFonts w:hint="eastAsia" w:ascii="仿宋_GB2312" w:hAnsi="仿宋_GB2312" w:eastAsia="仿宋_GB2312" w:cs="仿宋_GB2312"/>
          <w:sz w:val="32"/>
          <w:szCs w:val="32"/>
        </w:rPr>
        <w:fldChar w:fldCharType="end"/>
      </w:r>
      <w:r>
        <w:fldChar w:fldCharType="begin"/>
      </w:r>
      <w:r>
        <w:instrText xml:space="preserve"> HYPERLINK "http://59.196.244.10:100/blspLicense/javascript:goToLogin('%E4%B9%8C%E6%8B%89%E7%89%B9%E4%B8%AD%E6%97%97%E5%86%9C%E7%89%A7%E5%92%8C%E7%A7%91%E6%8A%80%E5%B1%80');" </w:instrText>
      </w:r>
      <w:r>
        <w:fldChar w:fldCharType="separate"/>
      </w:r>
      <w:r>
        <w:rPr>
          <w:rFonts w:hint="eastAsia" w:ascii="仿宋_GB2312" w:hAnsi="仿宋_GB2312" w:eastAsia="仿宋_GB2312" w:cs="仿宋_GB2312"/>
          <w:sz w:val="32"/>
          <w:szCs w:val="32"/>
        </w:rPr>
        <w:t>农牧和科技</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w:t>
      </w:r>
      <w:r>
        <w:fldChar w:fldCharType="begin"/>
      </w:r>
      <w:r>
        <w:instrText xml:space="preserve"> HYPERLINK "http://59.196.244.10:100/blspLicense/javascript:goToLogin('%E4%B9%8C%E6%8B%89%E7%89%B9%E4%B8%AD%E6%97%97%E6%9E%97%E4%B8%9A%E5%92%8C%E8%8D%89%E5%8E%9F%E5%B1%80');" </w:instrText>
      </w:r>
      <w:r>
        <w:fldChar w:fldCharType="separate"/>
      </w:r>
      <w:r>
        <w:rPr>
          <w:rFonts w:hint="eastAsia" w:ascii="仿宋_GB2312" w:hAnsi="仿宋_GB2312" w:eastAsia="仿宋_GB2312" w:cs="仿宋_GB2312"/>
          <w:sz w:val="32"/>
          <w:szCs w:val="32"/>
        </w:rPr>
        <w:t>林业和草原、</w:t>
      </w:r>
      <w:r>
        <w:rPr>
          <w:rFonts w:hint="eastAsia" w:ascii="仿宋_GB2312" w:hAnsi="仿宋_GB2312" w:eastAsia="仿宋_GB2312" w:cs="仿宋_GB2312"/>
          <w:sz w:val="32"/>
          <w:szCs w:val="32"/>
        </w:rPr>
        <w:fldChar w:fldCharType="end"/>
      </w:r>
      <w:r>
        <w:fldChar w:fldCharType="begin"/>
      </w:r>
      <w:r>
        <w:instrText xml:space="preserve"> HYPERLINK "http://59.196.244.10:100/blspLicense/javascript:goToLogin('%E5%B7%B4%E5%BD%A6%E6%B7%96%E5%B0%94%E5%B8%82%E4%B9%8C%E6%8B%89%E7%89%B9%E4%B8%AD%E6%97%97%E7%8E%AF%E5%A2%83%E4%BF%9D%E6%8A%A4%E5%B1%80');" </w:instrText>
      </w:r>
      <w:r>
        <w:fldChar w:fldCharType="separate"/>
      </w:r>
      <w:r>
        <w:rPr>
          <w:rFonts w:hint="eastAsia" w:ascii="仿宋_GB2312" w:hAnsi="仿宋_GB2312" w:eastAsia="仿宋_GB2312" w:cs="仿宋_GB2312"/>
          <w:sz w:val="32"/>
          <w:szCs w:val="32"/>
        </w:rPr>
        <w:t>环境保护、</w:t>
      </w:r>
      <w:r>
        <w:rPr>
          <w:rFonts w:hint="eastAsia" w:ascii="仿宋_GB2312" w:hAnsi="仿宋_GB2312" w:eastAsia="仿宋_GB2312" w:cs="仿宋_GB2312"/>
          <w:sz w:val="32"/>
          <w:szCs w:val="32"/>
        </w:rPr>
        <w:fldChar w:fldCharType="end"/>
      </w:r>
      <w:r>
        <w:fldChar w:fldCharType="begin"/>
      </w:r>
      <w:r>
        <w:instrText xml:space="preserve"> HYPERLINK "http://59.196.244.10:100/blspLicense/javascript:goToLogin('%E4%B9%8C%E6%8B%89%E7%89%B9%E4%B8%AD%E6%97%97%E5%B7%A5%E4%B8%9A%E5%92%8C%E4%BF%A1%E6%81%AF%E5%8C%96%E5%B1%80');" </w:instrText>
      </w:r>
      <w:r>
        <w:fldChar w:fldCharType="separate"/>
      </w:r>
      <w:r>
        <w:rPr>
          <w:rFonts w:hint="eastAsia" w:ascii="仿宋_GB2312" w:hAnsi="仿宋_GB2312" w:eastAsia="仿宋_GB2312" w:cs="仿宋_GB2312"/>
          <w:sz w:val="32"/>
          <w:szCs w:val="32"/>
        </w:rPr>
        <w:t>工业和信息化</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w:t>
      </w:r>
      <w:r>
        <w:fldChar w:fldCharType="begin"/>
      </w:r>
      <w:r>
        <w:instrText xml:space="preserve"> HYPERLINK "http://59.196.244.10:100/blspLicense/javascript:goToLogin('%E5%9B%BD%E5%AE%B6%E7%A8%8E%E5%8A%A1%E6%80%BB%E5%B1%80%E4%B9%8C%E6%8B%89%E7%89%B9%E4%B8%AD%E6%97%97%E7%A8%8E%E5%8A%A1%E5%B1%80');" </w:instrText>
      </w:r>
      <w:r>
        <w:fldChar w:fldCharType="separate"/>
      </w:r>
      <w:r>
        <w:rPr>
          <w:rFonts w:hint="eastAsia" w:ascii="仿宋_GB2312" w:hAnsi="仿宋_GB2312" w:eastAsia="仿宋_GB2312" w:cs="仿宋_GB2312"/>
          <w:sz w:val="32"/>
          <w:szCs w:val="32"/>
        </w:rPr>
        <w:t>税务</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、消防救援、运输管理、</w:t>
      </w:r>
      <w:r>
        <w:fldChar w:fldCharType="begin"/>
      </w:r>
      <w:r>
        <w:instrText xml:space="preserve"> HYPERLINK "http://59.196.244.10:100/blspLicense/javascript:goToLogin('%E5%B7%B4%E5%BD%A6%E6%B7%96%E5%B0%94%E5%B8%82%E4%B9%8C%E6%8B%89%E7%89%B9%E4%B8%AD%E6%97%97%E7%83%9F%E8%8D%89%E4%B8%93%E5%8D%96%E5%B1%80');" </w:instrText>
      </w:r>
      <w:r>
        <w:fldChar w:fldCharType="separate"/>
      </w:r>
      <w:r>
        <w:rPr>
          <w:rFonts w:hint="eastAsia" w:ascii="仿宋_GB2312" w:hAnsi="仿宋_GB2312" w:eastAsia="仿宋_GB2312" w:cs="仿宋_GB2312"/>
          <w:sz w:val="32"/>
          <w:szCs w:val="32"/>
        </w:rPr>
        <w:t>烟草专卖</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color w:val="333333"/>
          <w:spacing w:val="8"/>
          <w:sz w:val="32"/>
          <w:szCs w:val="32"/>
        </w:rPr>
        <w:t>等市场监管领域有关部门应将“双随机、一公开”作为市场监管的基本手段和方式，除特殊重点领域外，原则上所有行政检查都应通过双随机抽查的方式进行。</w:t>
      </w:r>
    </w:p>
    <w:p>
      <w:pPr>
        <w:pStyle w:val="3"/>
        <w:shd w:val="clear" w:color="auto" w:fill="FFFFFF"/>
        <w:spacing w:before="0" w:beforeAutospacing="0" w:after="0" w:afterAutospacing="0" w:line="560" w:lineRule="exact"/>
        <w:ind w:firstLine="480"/>
        <w:rPr>
          <w:rFonts w:ascii="仿宋_GB2312" w:hAnsi="仿宋_GB2312" w:eastAsia="仿宋_GB2312" w:cs="仿宋_GB2312"/>
          <w:color w:val="333333"/>
          <w:spacing w:val="8"/>
          <w:sz w:val="32"/>
          <w:szCs w:val="32"/>
        </w:rPr>
      </w:pPr>
    </w:p>
    <w:p>
      <w:pPr>
        <w:pStyle w:val="3"/>
        <w:shd w:val="clear" w:color="auto" w:fill="FFFFFF"/>
        <w:spacing w:before="0" w:beforeAutospacing="0" w:after="0" w:afterAutospacing="0" w:line="560" w:lineRule="exact"/>
        <w:ind w:firstLine="480"/>
        <w:jc w:val="center"/>
        <w:rPr>
          <w:rFonts w:ascii="仿宋_GB2312" w:hAnsi="仿宋_GB2312" w:eastAsia="仿宋_GB2312" w:cs="仿宋_GB2312"/>
          <w:color w:val="333333"/>
          <w:spacing w:val="8"/>
          <w:sz w:val="32"/>
          <w:szCs w:val="32"/>
        </w:rPr>
      </w:pPr>
      <w:r>
        <w:rPr>
          <w:rStyle w:val="6"/>
          <w:rFonts w:hint="eastAsia" w:ascii="仿宋_GB2312" w:hAnsi="仿宋_GB2312" w:eastAsia="仿宋_GB2312" w:cs="仿宋_GB2312"/>
          <w:color w:val="333333"/>
          <w:spacing w:val="8"/>
          <w:sz w:val="32"/>
          <w:szCs w:val="32"/>
        </w:rPr>
        <w:t>第二章</w:t>
      </w:r>
      <w:r>
        <w:rPr>
          <w:rStyle w:val="6"/>
          <w:rFonts w:hint="eastAsia" w:ascii="仿宋_GB2312" w:hAnsi="仿宋_GB2312" w:eastAsia="仿宋_GB2312" w:cs="仿宋_GB2312"/>
          <w:color w:val="333333"/>
          <w:spacing w:val="8"/>
          <w:sz w:val="32"/>
          <w:szCs w:val="32"/>
          <w:lang w:val="en-US" w:eastAsia="zh-CN"/>
        </w:rPr>
        <w:t xml:space="preserve">  </w:t>
      </w:r>
      <w:r>
        <w:rPr>
          <w:rStyle w:val="6"/>
          <w:rFonts w:hint="eastAsia" w:ascii="仿宋_GB2312" w:hAnsi="仿宋_GB2312" w:eastAsia="仿宋_GB2312" w:cs="仿宋_GB2312"/>
          <w:color w:val="333333"/>
          <w:spacing w:val="8"/>
          <w:sz w:val="32"/>
          <w:szCs w:val="32"/>
        </w:rPr>
        <w:t>基础准备</w:t>
      </w:r>
    </w:p>
    <w:p>
      <w:pPr>
        <w:pStyle w:val="3"/>
        <w:shd w:val="clear" w:color="auto" w:fill="FFFFFF"/>
        <w:spacing w:before="0" w:beforeAutospacing="0" w:after="0" w:afterAutospacing="0" w:line="560" w:lineRule="exact"/>
        <w:ind w:firstLine="480"/>
        <w:rPr>
          <w:rFonts w:ascii="仿宋_GB2312" w:hAnsi="仿宋_GB2312" w:eastAsia="仿宋_GB2312" w:cs="仿宋_GB2312"/>
          <w:color w:val="333333"/>
          <w:spacing w:val="8"/>
          <w:sz w:val="32"/>
          <w:szCs w:val="32"/>
        </w:rPr>
      </w:pPr>
    </w:p>
    <w:p>
      <w:pPr>
        <w:pStyle w:val="3"/>
        <w:shd w:val="clear" w:color="auto" w:fill="FFFFFF"/>
        <w:spacing w:before="0" w:beforeAutospacing="0" w:after="0" w:afterAutospacing="0" w:line="560" w:lineRule="exact"/>
        <w:ind w:firstLine="675" w:firstLineChars="200"/>
        <w:rPr>
          <w:rFonts w:ascii="仿宋_GB2312" w:hAnsi="仿宋_GB2312" w:eastAsia="仿宋_GB2312" w:cs="仿宋_GB2312"/>
          <w:color w:val="333333"/>
          <w:spacing w:val="8"/>
          <w:sz w:val="32"/>
          <w:szCs w:val="32"/>
        </w:rPr>
      </w:pPr>
      <w:r>
        <w:rPr>
          <w:rStyle w:val="6"/>
          <w:rFonts w:hint="eastAsia" w:ascii="仿宋_GB2312" w:hAnsi="仿宋_GB2312" w:eastAsia="仿宋_GB2312" w:cs="仿宋_GB2312"/>
          <w:color w:val="333333"/>
          <w:spacing w:val="8"/>
          <w:sz w:val="32"/>
          <w:szCs w:val="32"/>
        </w:rPr>
        <w:t>第六条</w:t>
      </w:r>
      <w:r>
        <w:rPr>
          <w:rFonts w:ascii="仿宋_GB2312" w:hAnsi="仿宋_GB2312" w:eastAsia="仿宋_GB2312" w:cs="仿宋_GB2312"/>
          <w:color w:val="333333"/>
          <w:spacing w:val="8"/>
          <w:sz w:val="32"/>
          <w:szCs w:val="32"/>
        </w:rPr>
        <w:t> </w:t>
      </w:r>
      <w:r>
        <w:rPr>
          <w:rFonts w:hint="eastAsia" w:ascii="仿宋_GB2312" w:hAnsi="仿宋_GB2312" w:eastAsia="仿宋_GB2312" w:cs="仿宋_GB2312"/>
          <w:color w:val="333333"/>
          <w:spacing w:val="8"/>
          <w:sz w:val="32"/>
          <w:szCs w:val="32"/>
        </w:rPr>
        <w:t>市场监管局负责</w:t>
      </w:r>
      <w:r>
        <w:rPr>
          <w:rFonts w:hint="eastAsia" w:ascii="仿宋_GB2312" w:eastAsia="仿宋_GB2312"/>
          <w:sz w:val="32"/>
          <w:szCs w:val="32"/>
        </w:rPr>
        <w:t>国家企业信用信息公示系统</w:t>
      </w:r>
      <w:r>
        <w:rPr>
          <w:rFonts w:ascii="仿宋_GB2312" w:eastAsia="仿宋_GB2312"/>
          <w:sz w:val="32"/>
          <w:szCs w:val="32"/>
        </w:rPr>
        <w:t>-</w:t>
      </w:r>
      <w:r>
        <w:rPr>
          <w:rFonts w:hint="eastAsia" w:ascii="仿宋_GB2312" w:eastAsia="仿宋_GB2312"/>
          <w:sz w:val="32"/>
          <w:szCs w:val="32"/>
        </w:rPr>
        <w:t>部门协同监管平台（内蒙古）</w:t>
      </w:r>
      <w:r>
        <w:rPr>
          <w:rFonts w:hint="eastAsia" w:ascii="仿宋_GB2312" w:hAnsi="仿宋_GB2312" w:eastAsia="仿宋_GB2312" w:cs="仿宋_GB2312"/>
          <w:color w:val="333333"/>
          <w:spacing w:val="8"/>
          <w:sz w:val="32"/>
          <w:szCs w:val="32"/>
        </w:rPr>
        <w:t>（以下简称协同监管平台）的维护工作。各有关部门应依托监管平台开展本部门和部门联合“双随机、一公开”监管工作。</w:t>
      </w:r>
    </w:p>
    <w:p>
      <w:pPr>
        <w:pStyle w:val="3"/>
        <w:shd w:val="clear" w:color="auto" w:fill="FFFFFF"/>
        <w:spacing w:before="0" w:beforeAutospacing="0" w:after="0" w:afterAutospacing="0" w:line="560" w:lineRule="exact"/>
        <w:ind w:firstLine="675" w:firstLineChars="200"/>
        <w:rPr>
          <w:rFonts w:ascii="仿宋_GB2312" w:hAnsi="仿宋_GB2312" w:eastAsia="仿宋_GB2312" w:cs="仿宋_GB2312"/>
          <w:color w:val="333333"/>
          <w:spacing w:val="8"/>
          <w:sz w:val="32"/>
          <w:szCs w:val="32"/>
        </w:rPr>
      </w:pPr>
      <w:r>
        <w:rPr>
          <w:rStyle w:val="6"/>
          <w:rFonts w:hint="eastAsia" w:ascii="仿宋_GB2312" w:hAnsi="仿宋_GB2312" w:eastAsia="仿宋_GB2312" w:cs="仿宋_GB2312"/>
          <w:color w:val="333333"/>
          <w:spacing w:val="8"/>
          <w:sz w:val="32"/>
          <w:szCs w:val="32"/>
        </w:rPr>
        <w:t>第七条</w:t>
      </w:r>
      <w:r>
        <w:rPr>
          <w:rStyle w:val="6"/>
          <w:rFonts w:ascii="仿宋_GB2312" w:hAnsi="仿宋_GB2312" w:eastAsia="仿宋_GB2312" w:cs="仿宋_GB2312"/>
          <w:color w:val="333333"/>
          <w:spacing w:val="8"/>
          <w:sz w:val="32"/>
          <w:szCs w:val="32"/>
        </w:rPr>
        <w:t xml:space="preserve"> </w:t>
      </w:r>
      <w:r>
        <w:rPr>
          <w:rFonts w:hint="eastAsia" w:ascii="仿宋_GB2312" w:hAnsi="仿宋_GB2312" w:eastAsia="仿宋_GB2312" w:cs="仿宋_GB2312"/>
          <w:color w:val="333333"/>
          <w:spacing w:val="8"/>
          <w:sz w:val="32"/>
          <w:szCs w:val="32"/>
        </w:rPr>
        <w:t>各有关部门应依照法律、法规、规章规定，建立本部门随机抽查事项清单（以下简称清单），明确抽查类别、抽查事项、检查对象、事项类别、检查方式、检查主体、检查依据等，并录入协同监管平台。</w:t>
      </w:r>
      <w:r>
        <w:rPr>
          <w:rFonts w:ascii="仿宋_GB2312" w:hAnsi="仿宋_GB2312" w:eastAsia="仿宋_GB2312" w:cs="仿宋_GB2312"/>
          <w:color w:val="333333"/>
          <w:spacing w:val="8"/>
          <w:sz w:val="32"/>
          <w:szCs w:val="32"/>
        </w:rPr>
        <w:t> </w:t>
      </w:r>
    </w:p>
    <w:p>
      <w:pPr>
        <w:pStyle w:val="3"/>
        <w:shd w:val="clear" w:color="auto" w:fill="FFFFFF"/>
        <w:spacing w:before="0" w:beforeAutospacing="0" w:after="0" w:afterAutospacing="0" w:line="560" w:lineRule="exact"/>
        <w:ind w:firstLine="672" w:firstLineChars="200"/>
        <w:rPr>
          <w:rFonts w:ascii="仿宋_GB2312" w:hAnsi="仿宋_GB2312" w:eastAsia="仿宋_GB2312" w:cs="仿宋_GB2312"/>
          <w:color w:val="333333"/>
          <w:spacing w:val="8"/>
          <w:sz w:val="32"/>
          <w:szCs w:val="32"/>
        </w:rPr>
      </w:pPr>
      <w:r>
        <w:rPr>
          <w:rFonts w:hint="eastAsia" w:ascii="仿宋_GB2312" w:hAnsi="仿宋_GB2312" w:eastAsia="仿宋_GB2312" w:cs="仿宋_GB2312"/>
          <w:color w:val="333333"/>
          <w:spacing w:val="8"/>
          <w:sz w:val="32"/>
          <w:szCs w:val="32"/>
        </w:rPr>
        <w:t>清单应根据法律、法规、规章立改废释和工作实际情况等进行动态调整。各有关部门在调整完成清单后，应于</w:t>
      </w:r>
      <w:r>
        <w:rPr>
          <w:rFonts w:ascii="仿宋_GB2312" w:hAnsi="仿宋_GB2312" w:eastAsia="仿宋_GB2312" w:cs="仿宋_GB2312"/>
          <w:color w:val="333333"/>
          <w:spacing w:val="8"/>
          <w:sz w:val="32"/>
          <w:szCs w:val="32"/>
        </w:rPr>
        <w:t>10</w:t>
      </w:r>
      <w:r>
        <w:rPr>
          <w:rFonts w:hint="eastAsia" w:ascii="仿宋_GB2312" w:hAnsi="仿宋_GB2312" w:eastAsia="仿宋_GB2312" w:cs="仿宋_GB2312"/>
          <w:color w:val="333333"/>
          <w:spacing w:val="8"/>
          <w:sz w:val="32"/>
          <w:szCs w:val="32"/>
        </w:rPr>
        <w:t>个工作日内录入监管平台，并及时通过相关网站和监管平台向社会公示。无法律、法规、规章依据的，不得擅自调整。</w:t>
      </w:r>
    </w:p>
    <w:p>
      <w:pPr>
        <w:pStyle w:val="3"/>
        <w:shd w:val="clear" w:color="auto" w:fill="FFFFFF"/>
        <w:spacing w:before="0" w:beforeAutospacing="0" w:after="0" w:afterAutospacing="0" w:line="560" w:lineRule="exact"/>
        <w:ind w:firstLine="675" w:firstLineChars="200"/>
        <w:rPr>
          <w:rFonts w:ascii="仿宋_GB2312" w:hAnsi="仿宋_GB2312" w:eastAsia="仿宋_GB2312" w:cs="仿宋_GB2312"/>
          <w:color w:val="333333"/>
          <w:spacing w:val="8"/>
          <w:sz w:val="32"/>
          <w:szCs w:val="32"/>
        </w:rPr>
      </w:pPr>
      <w:r>
        <w:rPr>
          <w:rStyle w:val="6"/>
          <w:rFonts w:hint="eastAsia" w:ascii="仿宋_GB2312" w:hAnsi="仿宋_GB2312" w:eastAsia="仿宋_GB2312" w:cs="仿宋_GB2312"/>
          <w:color w:val="333333"/>
          <w:spacing w:val="8"/>
          <w:sz w:val="32"/>
          <w:szCs w:val="32"/>
        </w:rPr>
        <w:t>第八条</w:t>
      </w:r>
      <w:r>
        <w:rPr>
          <w:rStyle w:val="6"/>
          <w:rFonts w:ascii="仿宋_GB2312" w:hAnsi="仿宋_GB2312" w:eastAsia="仿宋_GB2312" w:cs="仿宋_GB2312"/>
          <w:color w:val="333333"/>
          <w:spacing w:val="8"/>
          <w:sz w:val="32"/>
          <w:szCs w:val="32"/>
        </w:rPr>
        <w:t xml:space="preserve"> </w:t>
      </w:r>
      <w:r>
        <w:rPr>
          <w:rFonts w:hint="eastAsia" w:ascii="仿宋_GB2312" w:hAnsi="仿宋_GB2312" w:eastAsia="仿宋_GB2312" w:cs="仿宋_GB2312"/>
          <w:color w:val="333333"/>
          <w:spacing w:val="8"/>
          <w:sz w:val="32"/>
          <w:szCs w:val="32"/>
        </w:rPr>
        <w:t>随机抽查事项分为重点检查事项和一般检查事项。重点检查事项针对安全、质量、公共利益等重要领域，抽查比例不设上限；抽查比例高的，可以通过随机抽取的方式确定检查批次顺序。一般检查事项针对一般监管领域，抽查比例由政府根据监管实际情况设置上限。</w:t>
      </w:r>
    </w:p>
    <w:p>
      <w:pPr>
        <w:pStyle w:val="3"/>
        <w:shd w:val="clear" w:color="auto" w:fill="FFFFFF"/>
        <w:spacing w:before="0" w:beforeAutospacing="0" w:after="0" w:afterAutospacing="0" w:line="560" w:lineRule="exact"/>
        <w:ind w:firstLine="675" w:firstLineChars="200"/>
        <w:rPr>
          <w:rFonts w:ascii="仿宋_GB2312" w:hAnsi="仿宋_GB2312" w:eastAsia="仿宋_GB2312" w:cs="仿宋_GB2312"/>
          <w:color w:val="333333"/>
          <w:spacing w:val="8"/>
          <w:sz w:val="32"/>
          <w:szCs w:val="32"/>
        </w:rPr>
      </w:pPr>
      <w:r>
        <w:rPr>
          <w:rStyle w:val="6"/>
          <w:rFonts w:hint="eastAsia" w:ascii="仿宋_GB2312" w:hAnsi="仿宋_GB2312" w:eastAsia="仿宋_GB2312" w:cs="仿宋_GB2312"/>
          <w:color w:val="333333"/>
          <w:spacing w:val="8"/>
          <w:sz w:val="32"/>
          <w:szCs w:val="32"/>
        </w:rPr>
        <w:t>第九条</w:t>
      </w:r>
      <w:r>
        <w:rPr>
          <w:rFonts w:ascii="仿宋_GB2312" w:hAnsi="仿宋_GB2312" w:eastAsia="仿宋_GB2312" w:cs="仿宋_GB2312"/>
          <w:color w:val="333333"/>
          <w:spacing w:val="8"/>
          <w:sz w:val="32"/>
          <w:szCs w:val="32"/>
        </w:rPr>
        <w:t> </w:t>
      </w:r>
      <w:r>
        <w:rPr>
          <w:rFonts w:hint="eastAsia" w:ascii="仿宋_GB2312" w:hAnsi="仿宋_GB2312" w:eastAsia="仿宋_GB2312" w:cs="仿宋_GB2312"/>
          <w:color w:val="333333"/>
          <w:spacing w:val="8"/>
          <w:sz w:val="32"/>
          <w:szCs w:val="32"/>
        </w:rPr>
        <w:t>各有关部门应通过分类标注、批量导入等方式，在协同监管平台分别建立与本部门清单相对应的检查对象名录库，检查对象可以包括企业、农合、个体户等市场主体，也可以包括产品、项目、行为等。</w:t>
      </w:r>
    </w:p>
    <w:p>
      <w:pPr>
        <w:pStyle w:val="3"/>
        <w:shd w:val="clear" w:color="auto" w:fill="FFFFFF"/>
        <w:spacing w:before="0" w:beforeAutospacing="0" w:after="0" w:afterAutospacing="0" w:line="560" w:lineRule="exact"/>
        <w:ind w:firstLine="675" w:firstLineChars="200"/>
        <w:rPr>
          <w:rFonts w:ascii="仿宋_GB2312" w:hAnsi="仿宋_GB2312" w:eastAsia="仿宋_GB2312" w:cs="仿宋_GB2312"/>
          <w:color w:val="333333"/>
          <w:spacing w:val="8"/>
          <w:sz w:val="32"/>
          <w:szCs w:val="32"/>
        </w:rPr>
      </w:pPr>
      <w:r>
        <w:rPr>
          <w:rStyle w:val="6"/>
          <w:rFonts w:hint="eastAsia" w:ascii="仿宋_GB2312" w:hAnsi="仿宋_GB2312" w:eastAsia="仿宋_GB2312" w:cs="仿宋_GB2312"/>
          <w:color w:val="333333"/>
          <w:spacing w:val="8"/>
          <w:sz w:val="32"/>
          <w:szCs w:val="32"/>
        </w:rPr>
        <w:t>第十条</w:t>
      </w:r>
      <w:r>
        <w:rPr>
          <w:rFonts w:ascii="仿宋_GB2312" w:hAnsi="仿宋_GB2312" w:eastAsia="仿宋_GB2312" w:cs="仿宋_GB2312"/>
          <w:color w:val="333333"/>
          <w:spacing w:val="8"/>
          <w:sz w:val="32"/>
          <w:szCs w:val="32"/>
        </w:rPr>
        <w:t xml:space="preserve">  </w:t>
      </w:r>
      <w:r>
        <w:rPr>
          <w:rFonts w:hint="eastAsia" w:ascii="仿宋_GB2312" w:hAnsi="仿宋_GB2312" w:eastAsia="仿宋_GB2312" w:cs="仿宋_GB2312"/>
          <w:color w:val="333333"/>
          <w:spacing w:val="8"/>
          <w:sz w:val="32"/>
          <w:szCs w:val="32"/>
        </w:rPr>
        <w:t>执法检查人员名录库由各有关部门分级在协同监管平台中建立，名录库包括所有相关的行政执法类公务员、具有行政执法资格的工作人员和从事日常监管工作的人员。</w:t>
      </w:r>
    </w:p>
    <w:p>
      <w:pPr>
        <w:pStyle w:val="3"/>
        <w:shd w:val="clear" w:color="auto" w:fill="FFFFFF"/>
        <w:spacing w:before="0" w:beforeAutospacing="0" w:after="0" w:afterAutospacing="0" w:line="560" w:lineRule="exact"/>
        <w:ind w:firstLine="672" w:firstLineChars="200"/>
        <w:rPr>
          <w:rFonts w:ascii="仿宋_GB2312" w:hAnsi="仿宋_GB2312" w:eastAsia="仿宋_GB2312" w:cs="仿宋_GB2312"/>
          <w:color w:val="333333"/>
          <w:spacing w:val="8"/>
          <w:sz w:val="32"/>
          <w:szCs w:val="32"/>
        </w:rPr>
      </w:pPr>
      <w:r>
        <w:rPr>
          <w:rFonts w:hint="eastAsia" w:ascii="仿宋_GB2312" w:hAnsi="仿宋_GB2312" w:eastAsia="仿宋_GB2312" w:cs="仿宋_GB2312"/>
          <w:color w:val="333333"/>
          <w:spacing w:val="8"/>
          <w:sz w:val="32"/>
          <w:szCs w:val="32"/>
        </w:rPr>
        <w:t>执法检查人员名录库录入信息包括姓名、职务、执法证号、工作单位、执法资质、业务专长等，各有关部门应根据执法检查人员变动情况，及时更新维护。</w:t>
      </w:r>
    </w:p>
    <w:p>
      <w:pPr>
        <w:pStyle w:val="3"/>
        <w:shd w:val="clear" w:color="auto" w:fill="FFFFFF"/>
        <w:spacing w:before="0" w:beforeAutospacing="0" w:after="0" w:afterAutospacing="0" w:line="560" w:lineRule="exact"/>
        <w:ind w:firstLine="480"/>
        <w:rPr>
          <w:rFonts w:ascii="仿宋_GB2312" w:hAnsi="仿宋_GB2312" w:eastAsia="仿宋_GB2312" w:cs="仿宋_GB2312"/>
          <w:color w:val="333333"/>
          <w:spacing w:val="8"/>
          <w:sz w:val="32"/>
          <w:szCs w:val="32"/>
        </w:rPr>
      </w:pPr>
      <w:r>
        <w:rPr>
          <w:rFonts w:hint="eastAsia" w:ascii="仿宋_GB2312" w:hAnsi="仿宋_GB2312" w:eastAsia="仿宋_GB2312" w:cs="仿宋_GB2312"/>
          <w:color w:val="333333"/>
          <w:spacing w:val="8"/>
          <w:sz w:val="32"/>
          <w:szCs w:val="32"/>
        </w:rPr>
        <w:t>对特定领域的抽查，可吸收检测机构、科研院所、行业专家等辅助抽查，科学建立专家名录库。</w:t>
      </w:r>
    </w:p>
    <w:p>
      <w:pPr>
        <w:pStyle w:val="3"/>
        <w:shd w:val="clear" w:color="auto" w:fill="FFFFFF"/>
        <w:spacing w:before="0" w:beforeAutospacing="0" w:after="0" w:afterAutospacing="0" w:line="560" w:lineRule="exact"/>
        <w:ind w:firstLine="675" w:firstLineChars="200"/>
        <w:rPr>
          <w:rFonts w:ascii="仿宋_GB2312" w:hAnsi="仿宋_GB2312" w:eastAsia="仿宋_GB2312" w:cs="仿宋_GB2312"/>
          <w:color w:val="333333"/>
          <w:spacing w:val="8"/>
          <w:sz w:val="32"/>
          <w:szCs w:val="32"/>
        </w:rPr>
      </w:pPr>
      <w:r>
        <w:rPr>
          <w:rStyle w:val="6"/>
          <w:rFonts w:hint="eastAsia" w:ascii="仿宋_GB2312" w:hAnsi="仿宋_GB2312" w:eastAsia="仿宋_GB2312" w:cs="仿宋_GB2312"/>
          <w:color w:val="333333"/>
          <w:spacing w:val="8"/>
          <w:sz w:val="32"/>
          <w:szCs w:val="32"/>
        </w:rPr>
        <w:t>第十一条</w:t>
      </w:r>
      <w:r>
        <w:rPr>
          <w:rFonts w:ascii="仿宋_GB2312" w:hAnsi="仿宋_GB2312" w:eastAsia="仿宋_GB2312" w:cs="仿宋_GB2312"/>
          <w:color w:val="333333"/>
          <w:spacing w:val="8"/>
          <w:sz w:val="32"/>
          <w:szCs w:val="32"/>
        </w:rPr>
        <w:t> </w:t>
      </w:r>
      <w:r>
        <w:rPr>
          <w:rFonts w:hint="eastAsia" w:ascii="仿宋_GB2312" w:hAnsi="仿宋_GB2312" w:eastAsia="仿宋_GB2312" w:cs="仿宋_GB2312"/>
          <w:color w:val="333333"/>
          <w:spacing w:val="8"/>
          <w:sz w:val="32"/>
          <w:szCs w:val="32"/>
        </w:rPr>
        <w:t>各有关部门应结合实际，制定完善本部门随机抽查工作细则和工作指引。</w:t>
      </w:r>
    </w:p>
    <w:p>
      <w:pPr>
        <w:pStyle w:val="3"/>
        <w:shd w:val="clear" w:color="auto" w:fill="FFFFFF"/>
        <w:spacing w:before="0" w:beforeAutospacing="0" w:after="0" w:afterAutospacing="0" w:line="560" w:lineRule="exact"/>
        <w:ind w:firstLine="672" w:firstLineChars="200"/>
        <w:rPr>
          <w:rFonts w:ascii="仿宋_GB2312" w:hAnsi="仿宋_GB2312" w:eastAsia="仿宋_GB2312" w:cs="仿宋_GB2312"/>
          <w:color w:val="333333"/>
          <w:spacing w:val="8"/>
          <w:sz w:val="32"/>
          <w:szCs w:val="32"/>
        </w:rPr>
      </w:pPr>
      <w:r>
        <w:rPr>
          <w:rFonts w:hint="eastAsia" w:ascii="仿宋_GB2312" w:hAnsi="仿宋_GB2312" w:eastAsia="仿宋_GB2312" w:cs="仿宋_GB2312"/>
          <w:color w:val="333333"/>
          <w:spacing w:val="8"/>
          <w:sz w:val="32"/>
          <w:szCs w:val="32"/>
        </w:rPr>
        <w:t>随机抽查工作细则应明确组织领导、抽取方法、检查流程、抽查方式、公示程序、信息共享、监管衔接、归档方式等重点环节。</w:t>
      </w:r>
    </w:p>
    <w:p>
      <w:pPr>
        <w:pStyle w:val="3"/>
        <w:shd w:val="clear" w:color="auto" w:fill="FFFFFF"/>
        <w:spacing w:before="0" w:beforeAutospacing="0" w:after="0" w:afterAutospacing="0" w:line="560" w:lineRule="exact"/>
        <w:ind w:firstLine="672" w:firstLineChars="200"/>
        <w:rPr>
          <w:rFonts w:ascii="仿宋_GB2312" w:hAnsi="仿宋_GB2312" w:eastAsia="仿宋_GB2312" w:cs="仿宋_GB2312"/>
          <w:color w:val="333333"/>
          <w:spacing w:val="8"/>
          <w:sz w:val="32"/>
          <w:szCs w:val="32"/>
        </w:rPr>
      </w:pPr>
      <w:r>
        <w:rPr>
          <w:rFonts w:hint="eastAsia" w:ascii="仿宋_GB2312" w:hAnsi="仿宋_GB2312" w:eastAsia="仿宋_GB2312" w:cs="仿宋_GB2312"/>
          <w:color w:val="333333"/>
          <w:spacing w:val="8"/>
          <w:sz w:val="32"/>
          <w:szCs w:val="32"/>
        </w:rPr>
        <w:t>随机抽查工作指引应根据各抽查事项特点，逐一明确检查内容、方法和工作要求。</w:t>
      </w:r>
    </w:p>
    <w:p>
      <w:pPr>
        <w:pStyle w:val="3"/>
        <w:shd w:val="clear" w:color="auto" w:fill="FFFFFF"/>
        <w:spacing w:before="0" w:beforeAutospacing="0" w:after="0" w:afterAutospacing="0" w:line="560" w:lineRule="exact"/>
        <w:ind w:firstLine="480"/>
        <w:rPr>
          <w:rFonts w:ascii="仿宋_GB2312" w:hAnsi="仿宋_GB2312" w:eastAsia="仿宋_GB2312" w:cs="仿宋_GB2312"/>
          <w:color w:val="333333"/>
          <w:spacing w:val="8"/>
          <w:sz w:val="32"/>
          <w:szCs w:val="32"/>
        </w:rPr>
      </w:pPr>
    </w:p>
    <w:p>
      <w:pPr>
        <w:pStyle w:val="3"/>
        <w:shd w:val="clear" w:color="auto" w:fill="FFFFFF"/>
        <w:spacing w:before="0" w:beforeAutospacing="0" w:after="0" w:afterAutospacing="0" w:line="560" w:lineRule="exact"/>
        <w:ind w:firstLine="480"/>
        <w:jc w:val="center"/>
        <w:rPr>
          <w:rFonts w:ascii="仿宋_GB2312" w:hAnsi="仿宋_GB2312" w:eastAsia="仿宋_GB2312" w:cs="仿宋_GB2312"/>
          <w:color w:val="333333"/>
          <w:spacing w:val="8"/>
          <w:sz w:val="32"/>
          <w:szCs w:val="32"/>
        </w:rPr>
      </w:pPr>
      <w:r>
        <w:rPr>
          <w:rStyle w:val="6"/>
          <w:rFonts w:hint="eastAsia" w:ascii="仿宋_GB2312" w:hAnsi="仿宋_GB2312" w:eastAsia="仿宋_GB2312" w:cs="仿宋_GB2312"/>
          <w:color w:val="333333"/>
          <w:spacing w:val="8"/>
          <w:sz w:val="32"/>
          <w:szCs w:val="32"/>
        </w:rPr>
        <w:t>第三章</w:t>
      </w:r>
      <w:r>
        <w:rPr>
          <w:rStyle w:val="6"/>
          <w:rFonts w:ascii="仿宋_GB2312" w:hAnsi="仿宋_GB2312" w:eastAsia="仿宋_GB2312" w:cs="仿宋_GB2312"/>
          <w:color w:val="333333"/>
          <w:spacing w:val="8"/>
          <w:sz w:val="32"/>
          <w:szCs w:val="32"/>
        </w:rPr>
        <w:t xml:space="preserve">  </w:t>
      </w:r>
      <w:r>
        <w:rPr>
          <w:rStyle w:val="6"/>
          <w:rFonts w:hint="eastAsia" w:ascii="仿宋_GB2312" w:hAnsi="仿宋_GB2312" w:eastAsia="仿宋_GB2312" w:cs="仿宋_GB2312"/>
          <w:color w:val="333333"/>
          <w:spacing w:val="8"/>
          <w:sz w:val="32"/>
          <w:szCs w:val="32"/>
        </w:rPr>
        <w:t>联合抽查流程</w:t>
      </w:r>
    </w:p>
    <w:p>
      <w:pPr>
        <w:pStyle w:val="3"/>
        <w:shd w:val="clear" w:color="auto" w:fill="FFFFFF"/>
        <w:spacing w:before="0" w:beforeAutospacing="0" w:after="0" w:afterAutospacing="0" w:line="560" w:lineRule="exact"/>
        <w:ind w:firstLine="480"/>
        <w:rPr>
          <w:rFonts w:ascii="仿宋_GB2312" w:hAnsi="仿宋_GB2312" w:eastAsia="仿宋_GB2312" w:cs="仿宋_GB2312"/>
          <w:color w:val="333333"/>
          <w:spacing w:val="8"/>
          <w:sz w:val="32"/>
          <w:szCs w:val="32"/>
        </w:rPr>
      </w:pPr>
    </w:p>
    <w:p>
      <w:pPr>
        <w:pStyle w:val="3"/>
        <w:shd w:val="clear" w:color="auto" w:fill="FFFFFF"/>
        <w:spacing w:before="0" w:beforeAutospacing="0" w:after="0" w:afterAutospacing="0" w:line="560" w:lineRule="exact"/>
        <w:ind w:firstLine="675" w:firstLineChars="200"/>
        <w:rPr>
          <w:rFonts w:ascii="仿宋_GB2312" w:hAnsi="仿宋_GB2312" w:eastAsia="仿宋_GB2312" w:cs="仿宋_GB2312"/>
          <w:color w:val="333333"/>
          <w:spacing w:val="8"/>
          <w:sz w:val="32"/>
          <w:szCs w:val="32"/>
        </w:rPr>
      </w:pPr>
      <w:r>
        <w:rPr>
          <w:rStyle w:val="6"/>
          <w:rFonts w:hint="eastAsia" w:ascii="仿宋_GB2312" w:hAnsi="仿宋_GB2312" w:eastAsia="仿宋_GB2312" w:cs="仿宋_GB2312"/>
          <w:color w:val="333333"/>
          <w:spacing w:val="8"/>
          <w:sz w:val="32"/>
          <w:szCs w:val="32"/>
        </w:rPr>
        <w:t>第十三条</w:t>
      </w:r>
      <w:r>
        <w:rPr>
          <w:rFonts w:ascii="仿宋_GB2312" w:hAnsi="仿宋_GB2312" w:eastAsia="仿宋_GB2312" w:cs="仿宋_GB2312"/>
          <w:color w:val="333333"/>
          <w:spacing w:val="8"/>
          <w:sz w:val="32"/>
          <w:szCs w:val="32"/>
        </w:rPr>
        <w:t> </w:t>
      </w:r>
      <w:r>
        <w:rPr>
          <w:rFonts w:hint="eastAsia" w:ascii="仿宋_GB2312" w:hAnsi="仿宋_GB2312" w:eastAsia="仿宋_GB2312" w:cs="仿宋_GB2312"/>
          <w:color w:val="333333"/>
          <w:spacing w:val="8"/>
          <w:sz w:val="32"/>
          <w:szCs w:val="32"/>
        </w:rPr>
        <w:t>各有关部门应于每年</w:t>
      </w:r>
      <w:r>
        <w:rPr>
          <w:rFonts w:ascii="仿宋_GB2312" w:hAnsi="仿宋_GB2312" w:eastAsia="仿宋_GB2312" w:cs="仿宋_GB2312"/>
          <w:color w:val="333333"/>
          <w:spacing w:val="8"/>
          <w:sz w:val="32"/>
          <w:szCs w:val="32"/>
        </w:rPr>
        <w:t>12</w:t>
      </w:r>
      <w:r>
        <w:rPr>
          <w:rFonts w:hint="eastAsia" w:ascii="仿宋_GB2312" w:hAnsi="仿宋_GB2312" w:eastAsia="仿宋_GB2312" w:cs="仿宋_GB2312"/>
          <w:color w:val="333333"/>
          <w:spacing w:val="8"/>
          <w:sz w:val="32"/>
          <w:szCs w:val="32"/>
        </w:rPr>
        <w:t>月底前确定本系统下年度“双随机、一公开”抽查重点。各有关部门根据抽查重点，结合实际，于次年</w:t>
      </w:r>
      <w:r>
        <w:rPr>
          <w:rFonts w:ascii="仿宋_GB2312" w:hAnsi="仿宋_GB2312" w:eastAsia="仿宋_GB2312" w:cs="仿宋_GB2312"/>
          <w:color w:val="333333"/>
          <w:spacing w:val="8"/>
          <w:sz w:val="32"/>
          <w:szCs w:val="32"/>
        </w:rPr>
        <w:t>1</w:t>
      </w:r>
      <w:r>
        <w:rPr>
          <w:rFonts w:hint="eastAsia" w:ascii="仿宋_GB2312" w:hAnsi="仿宋_GB2312" w:eastAsia="仿宋_GB2312" w:cs="仿宋_GB2312"/>
          <w:color w:val="333333"/>
          <w:spacing w:val="8"/>
          <w:sz w:val="32"/>
          <w:szCs w:val="32"/>
        </w:rPr>
        <w:t>月底前制定本部门年度抽查工作计划。</w:t>
      </w:r>
    </w:p>
    <w:p>
      <w:pPr>
        <w:pStyle w:val="3"/>
        <w:shd w:val="clear" w:color="auto" w:fill="FFFFFF"/>
        <w:spacing w:before="0" w:beforeAutospacing="0" w:after="0" w:afterAutospacing="0" w:line="560" w:lineRule="exact"/>
        <w:ind w:firstLine="675" w:firstLineChars="200"/>
        <w:rPr>
          <w:rFonts w:ascii="仿宋_GB2312" w:hAnsi="仿宋_GB2312" w:eastAsia="仿宋_GB2312" w:cs="仿宋_GB2312"/>
          <w:color w:val="333333"/>
          <w:spacing w:val="8"/>
          <w:sz w:val="32"/>
          <w:szCs w:val="32"/>
        </w:rPr>
      </w:pPr>
      <w:r>
        <w:rPr>
          <w:rStyle w:val="6"/>
          <w:rFonts w:hint="eastAsia" w:ascii="仿宋_GB2312" w:hAnsi="仿宋_GB2312" w:eastAsia="仿宋_GB2312" w:cs="仿宋_GB2312"/>
          <w:color w:val="333333"/>
          <w:spacing w:val="8"/>
          <w:sz w:val="32"/>
          <w:szCs w:val="32"/>
        </w:rPr>
        <w:t>第十四条</w:t>
      </w:r>
      <w:r>
        <w:rPr>
          <w:rFonts w:ascii="仿宋_GB2312" w:hAnsi="仿宋_GB2312" w:eastAsia="仿宋_GB2312" w:cs="仿宋_GB2312"/>
          <w:color w:val="333333"/>
          <w:spacing w:val="8"/>
          <w:sz w:val="32"/>
          <w:szCs w:val="32"/>
        </w:rPr>
        <w:t> </w:t>
      </w:r>
      <w:r>
        <w:rPr>
          <w:rFonts w:hint="eastAsia" w:ascii="仿宋_GB2312" w:hAnsi="仿宋_GB2312" w:eastAsia="仿宋_GB2312" w:cs="仿宋_GB2312"/>
          <w:color w:val="333333"/>
          <w:spacing w:val="8"/>
          <w:sz w:val="32"/>
          <w:szCs w:val="32"/>
        </w:rPr>
        <w:t>人民政府应结合地区实际和行业主管部门抽查要求，在每年</w:t>
      </w:r>
      <w:r>
        <w:rPr>
          <w:rFonts w:ascii="仿宋_GB2312" w:hAnsi="仿宋_GB2312" w:eastAsia="仿宋_GB2312" w:cs="仿宋_GB2312"/>
          <w:color w:val="333333"/>
          <w:spacing w:val="8"/>
          <w:sz w:val="32"/>
          <w:szCs w:val="32"/>
        </w:rPr>
        <w:t>3</w:t>
      </w:r>
      <w:r>
        <w:rPr>
          <w:rFonts w:hint="eastAsia" w:ascii="仿宋_GB2312" w:hAnsi="仿宋_GB2312" w:eastAsia="仿宋_GB2312" w:cs="仿宋_GB2312"/>
          <w:color w:val="333333"/>
          <w:spacing w:val="8"/>
          <w:sz w:val="32"/>
          <w:szCs w:val="32"/>
        </w:rPr>
        <w:t>月底前统筹制定本行政区域部门联合年度抽查工作计划，并通过相关网站和国家企业信用信息公示系统（内蒙古）（以下简称公示系统）向社会公示。</w:t>
      </w:r>
    </w:p>
    <w:p>
      <w:pPr>
        <w:pStyle w:val="3"/>
        <w:shd w:val="clear" w:color="auto" w:fill="FFFFFF"/>
        <w:spacing w:before="0" w:beforeAutospacing="0" w:after="0" w:afterAutospacing="0" w:line="560" w:lineRule="exact"/>
        <w:ind w:firstLine="672" w:firstLineChars="200"/>
        <w:rPr>
          <w:rFonts w:ascii="仿宋_GB2312" w:hAnsi="仿宋_GB2312" w:eastAsia="仿宋_GB2312" w:cs="仿宋_GB2312"/>
          <w:color w:val="333333"/>
          <w:spacing w:val="8"/>
          <w:sz w:val="32"/>
          <w:szCs w:val="32"/>
        </w:rPr>
      </w:pPr>
      <w:r>
        <w:rPr>
          <w:rFonts w:hint="eastAsia" w:ascii="仿宋_GB2312" w:hAnsi="仿宋_GB2312" w:eastAsia="仿宋_GB2312" w:cs="仿宋_GB2312"/>
          <w:color w:val="333333"/>
          <w:spacing w:val="8"/>
          <w:sz w:val="32"/>
          <w:szCs w:val="32"/>
        </w:rPr>
        <w:t>部门联合年度抽查工作计划应明确抽查计划名称、抽查任务名称、抽查事项、检查对象、抽查比例、抽查数量、部门联合检查发起部门和参与部门、抽查检查日期等事宜，科学确定部门联合抽查的事项和发起、参与部门，实现“进一次门、查多项事”。</w:t>
      </w:r>
    </w:p>
    <w:p>
      <w:pPr>
        <w:pStyle w:val="3"/>
        <w:shd w:val="clear" w:color="auto" w:fill="FFFFFF"/>
        <w:spacing w:before="0" w:beforeAutospacing="0" w:after="0" w:afterAutospacing="0" w:line="560" w:lineRule="exact"/>
        <w:ind w:firstLine="672" w:firstLineChars="200"/>
        <w:rPr>
          <w:rFonts w:ascii="仿宋_GB2312" w:hAnsi="仿宋_GB2312" w:eastAsia="仿宋_GB2312" w:cs="仿宋_GB2312"/>
          <w:color w:val="333333"/>
          <w:spacing w:val="8"/>
          <w:sz w:val="32"/>
          <w:szCs w:val="32"/>
        </w:rPr>
      </w:pPr>
      <w:r>
        <w:rPr>
          <w:rFonts w:hint="eastAsia" w:ascii="仿宋_GB2312" w:hAnsi="仿宋_GB2312" w:eastAsia="仿宋_GB2312" w:cs="仿宋_GB2312"/>
          <w:color w:val="333333"/>
          <w:spacing w:val="8"/>
          <w:sz w:val="32"/>
          <w:szCs w:val="32"/>
        </w:rPr>
        <w:t>年度抽查工作计划应根据法律法规规定和监管实际情况，按照风险等级、信用水平，对检查对象采取差异化分类监管措施，合理确定、动态调整抽查比例、频次。发现普遍性问题或者有突发性风险的领域，适当提高抽查比例和频次。</w:t>
      </w:r>
    </w:p>
    <w:p>
      <w:pPr>
        <w:pStyle w:val="3"/>
        <w:shd w:val="clear" w:color="auto" w:fill="FFFFFF"/>
        <w:spacing w:before="0" w:beforeAutospacing="0" w:after="0" w:afterAutospacing="0" w:line="560" w:lineRule="exact"/>
        <w:ind w:firstLine="480"/>
        <w:rPr>
          <w:rFonts w:ascii="仿宋_GB2312" w:hAnsi="仿宋_GB2312" w:eastAsia="仿宋_GB2312" w:cs="仿宋_GB2312"/>
          <w:color w:val="333333"/>
          <w:spacing w:val="8"/>
          <w:sz w:val="32"/>
          <w:szCs w:val="32"/>
        </w:rPr>
      </w:pPr>
      <w:r>
        <w:rPr>
          <w:rFonts w:hint="eastAsia" w:ascii="仿宋_GB2312" w:hAnsi="仿宋_GB2312" w:eastAsia="仿宋_GB2312" w:cs="仿宋_GB2312"/>
          <w:color w:val="333333"/>
          <w:spacing w:val="8"/>
          <w:sz w:val="32"/>
          <w:szCs w:val="32"/>
        </w:rPr>
        <w:t>对通过投诉举报、转办交办、数据监测等发现的违法违规个案线索，要立即实施检查、处置。</w:t>
      </w:r>
    </w:p>
    <w:p>
      <w:pPr>
        <w:pStyle w:val="3"/>
        <w:shd w:val="clear" w:color="auto" w:fill="FFFFFF"/>
        <w:spacing w:before="0" w:beforeAutospacing="0" w:after="0" w:afterAutospacing="0" w:line="560" w:lineRule="exact"/>
        <w:ind w:firstLine="675" w:firstLineChars="200"/>
        <w:rPr>
          <w:rFonts w:ascii="仿宋_GB2312" w:hAnsi="仿宋_GB2312" w:eastAsia="仿宋_GB2312" w:cs="仿宋_GB2312"/>
          <w:color w:val="333333"/>
          <w:spacing w:val="8"/>
          <w:sz w:val="32"/>
          <w:szCs w:val="32"/>
        </w:rPr>
      </w:pPr>
      <w:r>
        <w:rPr>
          <w:rStyle w:val="6"/>
          <w:rFonts w:hint="eastAsia" w:ascii="仿宋_GB2312" w:hAnsi="仿宋_GB2312" w:eastAsia="仿宋_GB2312" w:cs="仿宋_GB2312"/>
          <w:color w:val="333333"/>
          <w:spacing w:val="8"/>
          <w:sz w:val="32"/>
          <w:szCs w:val="32"/>
        </w:rPr>
        <w:t>第十五条</w:t>
      </w:r>
      <w:r>
        <w:rPr>
          <w:rStyle w:val="6"/>
          <w:rFonts w:ascii="仿宋_GB2312" w:hAnsi="仿宋_GB2312" w:eastAsia="仿宋_GB2312" w:cs="仿宋_GB2312"/>
          <w:color w:val="333333"/>
          <w:spacing w:val="8"/>
          <w:sz w:val="32"/>
          <w:szCs w:val="32"/>
        </w:rPr>
        <w:t> </w:t>
      </w:r>
      <w:r>
        <w:rPr>
          <w:rFonts w:hint="eastAsia" w:ascii="仿宋_GB2312" w:hAnsi="仿宋_GB2312" w:eastAsia="仿宋_GB2312" w:cs="仿宋_GB2312"/>
          <w:color w:val="333333"/>
          <w:spacing w:val="8"/>
          <w:sz w:val="32"/>
          <w:szCs w:val="32"/>
        </w:rPr>
        <w:t>各部门年度抽查工作计划和部门联合年度抽查工作计划可根据工作实际动态调整，调整后应当在</w:t>
      </w:r>
      <w:r>
        <w:rPr>
          <w:rFonts w:ascii="仿宋_GB2312" w:hAnsi="仿宋_GB2312" w:eastAsia="仿宋_GB2312" w:cs="仿宋_GB2312"/>
          <w:color w:val="333333"/>
          <w:spacing w:val="8"/>
          <w:sz w:val="32"/>
          <w:szCs w:val="32"/>
        </w:rPr>
        <w:t>10</w:t>
      </w:r>
      <w:r>
        <w:rPr>
          <w:rFonts w:hint="eastAsia" w:ascii="仿宋_GB2312" w:hAnsi="仿宋_GB2312" w:eastAsia="仿宋_GB2312" w:cs="仿宋_GB2312"/>
          <w:color w:val="333333"/>
          <w:spacing w:val="8"/>
          <w:sz w:val="32"/>
          <w:szCs w:val="32"/>
        </w:rPr>
        <w:t>个工作日内录入监管平台，并在公示系统公示。</w:t>
      </w:r>
    </w:p>
    <w:p>
      <w:pPr>
        <w:pStyle w:val="3"/>
        <w:shd w:val="clear" w:color="auto" w:fill="FFFFFF"/>
        <w:spacing w:before="0" w:beforeAutospacing="0" w:after="0" w:afterAutospacing="0" w:line="560" w:lineRule="exact"/>
        <w:ind w:firstLine="675" w:firstLineChars="200"/>
        <w:rPr>
          <w:rFonts w:ascii="仿宋_GB2312" w:hAnsi="仿宋_GB2312" w:eastAsia="仿宋_GB2312" w:cs="仿宋_GB2312"/>
          <w:color w:val="333333"/>
          <w:spacing w:val="8"/>
          <w:sz w:val="32"/>
          <w:szCs w:val="32"/>
        </w:rPr>
      </w:pPr>
      <w:r>
        <w:rPr>
          <w:rStyle w:val="6"/>
          <w:rFonts w:hint="eastAsia" w:ascii="仿宋_GB2312" w:hAnsi="仿宋_GB2312" w:eastAsia="仿宋_GB2312" w:cs="仿宋_GB2312"/>
          <w:color w:val="333333"/>
          <w:spacing w:val="8"/>
          <w:sz w:val="32"/>
          <w:szCs w:val="32"/>
        </w:rPr>
        <w:t>第十六条</w:t>
      </w:r>
      <w:r>
        <w:rPr>
          <w:rFonts w:ascii="仿宋_GB2312" w:hAnsi="仿宋_GB2312" w:eastAsia="仿宋_GB2312" w:cs="仿宋_GB2312"/>
          <w:color w:val="333333"/>
          <w:spacing w:val="8"/>
          <w:sz w:val="32"/>
          <w:szCs w:val="32"/>
        </w:rPr>
        <w:t> </w:t>
      </w:r>
      <w:r>
        <w:rPr>
          <w:rFonts w:hint="eastAsia" w:ascii="仿宋_GB2312" w:hAnsi="仿宋_GB2312" w:eastAsia="仿宋_GB2312" w:cs="仿宋_GB2312"/>
          <w:color w:val="333333"/>
          <w:spacing w:val="8"/>
          <w:sz w:val="32"/>
          <w:szCs w:val="32"/>
        </w:rPr>
        <w:t>人民政府根据部门联合年度抽查工作计划，组织领导本行政区域部门联合“双随机、一公开”监管工作。按照业务相近原则，应当将市场监管细化为若干领域，并为各领域指定联合抽查发起部门和参与部门。各有关部门均可发起该领域的部门联合抽查。</w:t>
      </w:r>
    </w:p>
    <w:p>
      <w:pPr>
        <w:pStyle w:val="3"/>
        <w:shd w:val="clear" w:color="auto" w:fill="FFFFFF"/>
        <w:spacing w:before="0" w:beforeAutospacing="0" w:after="0" w:afterAutospacing="0" w:line="560" w:lineRule="exact"/>
        <w:ind w:firstLine="675" w:firstLineChars="200"/>
        <w:rPr>
          <w:rFonts w:ascii="仿宋_GB2312" w:hAnsi="仿宋_GB2312" w:eastAsia="仿宋_GB2312" w:cs="仿宋_GB2312"/>
          <w:color w:val="333333"/>
          <w:spacing w:val="8"/>
          <w:sz w:val="32"/>
          <w:szCs w:val="32"/>
        </w:rPr>
      </w:pPr>
      <w:r>
        <w:rPr>
          <w:rStyle w:val="6"/>
          <w:rFonts w:hint="eastAsia" w:ascii="仿宋_GB2312" w:hAnsi="仿宋_GB2312" w:eastAsia="仿宋_GB2312" w:cs="仿宋_GB2312"/>
          <w:color w:val="333333"/>
          <w:spacing w:val="8"/>
          <w:sz w:val="32"/>
          <w:szCs w:val="32"/>
        </w:rPr>
        <w:t>第十七条</w:t>
      </w:r>
      <w:r>
        <w:rPr>
          <w:rStyle w:val="6"/>
          <w:rFonts w:ascii="仿宋_GB2312" w:hAnsi="仿宋_GB2312" w:eastAsia="仿宋_GB2312" w:cs="仿宋_GB2312"/>
          <w:color w:val="333333"/>
          <w:spacing w:val="8"/>
          <w:sz w:val="32"/>
          <w:szCs w:val="32"/>
        </w:rPr>
        <w:t> </w:t>
      </w:r>
      <w:r>
        <w:rPr>
          <w:rStyle w:val="9"/>
          <w:rFonts w:ascii="仿宋_GB2312" w:hAnsi="仿宋_GB2312" w:eastAsia="仿宋_GB2312" w:cs="仿宋_GB2312"/>
          <w:color w:val="333333"/>
          <w:spacing w:val="8"/>
          <w:sz w:val="32"/>
          <w:szCs w:val="32"/>
        </w:rPr>
        <w:t> </w:t>
      </w:r>
      <w:r>
        <w:rPr>
          <w:rFonts w:hint="eastAsia" w:ascii="仿宋_GB2312" w:hAnsi="仿宋_GB2312" w:eastAsia="仿宋_GB2312" w:cs="仿宋_GB2312"/>
          <w:color w:val="333333"/>
          <w:spacing w:val="8"/>
          <w:sz w:val="32"/>
          <w:szCs w:val="32"/>
        </w:rPr>
        <w:t>联合抽查发起部门负责统筹制定联合抽查工作方案，明确联合抽查事项、抽查方式、检查日程安排、工作进度等事宜。发起部门和参与部门联合对抽查事项进行检查。</w:t>
      </w:r>
    </w:p>
    <w:p>
      <w:pPr>
        <w:pStyle w:val="3"/>
        <w:shd w:val="clear" w:color="auto" w:fill="FFFFFF"/>
        <w:spacing w:before="0" w:beforeAutospacing="0" w:after="0" w:afterAutospacing="0" w:line="560" w:lineRule="exact"/>
        <w:ind w:firstLine="675" w:firstLineChars="200"/>
        <w:rPr>
          <w:rFonts w:ascii="仿宋_GB2312" w:hAnsi="仿宋_GB2312" w:eastAsia="仿宋_GB2312" w:cs="仿宋_GB2312"/>
          <w:color w:val="333333"/>
          <w:spacing w:val="8"/>
          <w:sz w:val="32"/>
          <w:szCs w:val="32"/>
        </w:rPr>
      </w:pPr>
      <w:r>
        <w:rPr>
          <w:rStyle w:val="6"/>
          <w:rFonts w:hint="eastAsia" w:ascii="仿宋_GB2312" w:hAnsi="仿宋_GB2312" w:eastAsia="仿宋_GB2312" w:cs="仿宋_GB2312"/>
          <w:color w:val="333333"/>
          <w:spacing w:val="8"/>
          <w:sz w:val="32"/>
          <w:szCs w:val="32"/>
        </w:rPr>
        <w:t>第十八条</w:t>
      </w:r>
      <w:r>
        <w:rPr>
          <w:rFonts w:ascii="仿宋_GB2312" w:hAnsi="仿宋_GB2312" w:eastAsia="仿宋_GB2312" w:cs="仿宋_GB2312"/>
          <w:color w:val="333333"/>
          <w:spacing w:val="8"/>
          <w:sz w:val="32"/>
          <w:szCs w:val="32"/>
        </w:rPr>
        <w:t xml:space="preserve">  </w:t>
      </w:r>
      <w:r>
        <w:rPr>
          <w:rFonts w:hint="eastAsia" w:ascii="仿宋_GB2312" w:hAnsi="仿宋_GB2312" w:eastAsia="仿宋_GB2312" w:cs="仿宋_GB2312"/>
          <w:color w:val="333333"/>
          <w:spacing w:val="8"/>
          <w:sz w:val="32"/>
          <w:szCs w:val="32"/>
        </w:rPr>
        <w:t>联合抽查发起部门要按照部门联合年度抽查工作计划，负责统一随机抽取被检查对象名单（以下简称名单），原则上在同一行业布置的抽查应该避免重复组织。</w:t>
      </w:r>
    </w:p>
    <w:p>
      <w:pPr>
        <w:pStyle w:val="3"/>
        <w:shd w:val="clear" w:color="auto" w:fill="FFFFFF"/>
        <w:spacing w:before="0" w:beforeAutospacing="0" w:after="0" w:afterAutospacing="0" w:line="560" w:lineRule="exact"/>
        <w:ind w:firstLine="672" w:firstLineChars="200"/>
        <w:rPr>
          <w:rFonts w:ascii="仿宋_GB2312" w:hAnsi="仿宋_GB2312" w:eastAsia="仿宋_GB2312" w:cs="仿宋_GB2312"/>
          <w:color w:val="333333"/>
          <w:spacing w:val="8"/>
          <w:sz w:val="32"/>
          <w:szCs w:val="32"/>
        </w:rPr>
      </w:pPr>
      <w:r>
        <w:rPr>
          <w:rFonts w:hint="eastAsia" w:ascii="仿宋_GB2312" w:hAnsi="仿宋_GB2312" w:eastAsia="仿宋_GB2312" w:cs="仿宋_GB2312"/>
          <w:color w:val="333333"/>
          <w:spacing w:val="8"/>
          <w:sz w:val="32"/>
          <w:szCs w:val="32"/>
        </w:rPr>
        <w:t>上级部门可委托下级部门进行检查，并应在名单抽取后</w:t>
      </w:r>
      <w:r>
        <w:rPr>
          <w:rFonts w:ascii="仿宋_GB2312" w:hAnsi="仿宋_GB2312" w:eastAsia="仿宋_GB2312" w:cs="仿宋_GB2312"/>
          <w:color w:val="333333"/>
          <w:spacing w:val="8"/>
          <w:sz w:val="32"/>
          <w:szCs w:val="32"/>
        </w:rPr>
        <w:t>5</w:t>
      </w:r>
      <w:r>
        <w:rPr>
          <w:rFonts w:hint="eastAsia" w:ascii="仿宋_GB2312" w:hAnsi="仿宋_GB2312" w:eastAsia="仿宋_GB2312" w:cs="仿宋_GB2312"/>
          <w:color w:val="333333"/>
          <w:spacing w:val="8"/>
          <w:sz w:val="32"/>
          <w:szCs w:val="32"/>
        </w:rPr>
        <w:t>个工作日内派发至检查部门。</w:t>
      </w:r>
    </w:p>
    <w:p>
      <w:pPr>
        <w:pStyle w:val="3"/>
        <w:shd w:val="clear" w:color="auto" w:fill="FFFFFF"/>
        <w:spacing w:before="0" w:beforeAutospacing="0" w:after="0" w:afterAutospacing="0" w:line="560" w:lineRule="exact"/>
        <w:ind w:firstLine="675" w:firstLineChars="200"/>
        <w:rPr>
          <w:rFonts w:ascii="仿宋_GB2312" w:hAnsi="仿宋_GB2312" w:eastAsia="仿宋_GB2312" w:cs="仿宋_GB2312"/>
          <w:color w:val="333333"/>
          <w:spacing w:val="8"/>
          <w:sz w:val="32"/>
          <w:szCs w:val="32"/>
        </w:rPr>
      </w:pPr>
      <w:r>
        <w:rPr>
          <w:rStyle w:val="6"/>
          <w:rFonts w:hint="eastAsia" w:ascii="仿宋_GB2312" w:hAnsi="仿宋_GB2312" w:eastAsia="仿宋_GB2312" w:cs="仿宋_GB2312"/>
          <w:color w:val="333333"/>
          <w:spacing w:val="8"/>
          <w:sz w:val="32"/>
          <w:szCs w:val="32"/>
        </w:rPr>
        <w:t>第十九条</w:t>
      </w:r>
      <w:r>
        <w:rPr>
          <w:rFonts w:ascii="仿宋_GB2312" w:hAnsi="仿宋_GB2312" w:eastAsia="仿宋_GB2312" w:cs="仿宋_GB2312"/>
          <w:color w:val="333333"/>
          <w:spacing w:val="8"/>
          <w:sz w:val="32"/>
          <w:szCs w:val="32"/>
        </w:rPr>
        <w:t xml:space="preserve">  </w:t>
      </w:r>
      <w:r>
        <w:rPr>
          <w:rFonts w:hint="eastAsia" w:ascii="仿宋_GB2312" w:hAnsi="仿宋_GB2312" w:eastAsia="仿宋_GB2312" w:cs="仿宋_GB2312"/>
          <w:color w:val="333333"/>
          <w:spacing w:val="8"/>
          <w:sz w:val="32"/>
          <w:szCs w:val="32"/>
        </w:rPr>
        <w:t>参与检查部门在收到名单后</w:t>
      </w:r>
      <w:r>
        <w:rPr>
          <w:rFonts w:ascii="仿宋_GB2312" w:hAnsi="仿宋_GB2312" w:eastAsia="仿宋_GB2312" w:cs="仿宋_GB2312"/>
          <w:color w:val="333333"/>
          <w:spacing w:val="8"/>
          <w:sz w:val="32"/>
          <w:szCs w:val="32"/>
        </w:rPr>
        <w:t>5</w:t>
      </w:r>
      <w:r>
        <w:rPr>
          <w:rFonts w:hint="eastAsia" w:ascii="仿宋_GB2312" w:hAnsi="仿宋_GB2312" w:eastAsia="仿宋_GB2312" w:cs="仿宋_GB2312"/>
          <w:color w:val="333333"/>
          <w:spacing w:val="8"/>
          <w:sz w:val="32"/>
          <w:szCs w:val="32"/>
        </w:rPr>
        <w:t>个工作日内，综合考虑本行政区域地理环境、属地管理、人员配备、专业要求、任务特点、保障水平等情况，可选择在本部门内随机、部门与部门随机、上级部门与下级部门随机等满足抽查检查实际需要的选派方式，随机选派执法检查人员。</w:t>
      </w:r>
    </w:p>
    <w:p>
      <w:pPr>
        <w:pStyle w:val="3"/>
        <w:shd w:val="clear" w:color="auto" w:fill="FFFFFF"/>
        <w:spacing w:before="0" w:beforeAutospacing="0" w:after="0" w:afterAutospacing="0" w:line="560" w:lineRule="exact"/>
        <w:ind w:firstLine="480"/>
        <w:rPr>
          <w:rFonts w:ascii="仿宋_GB2312" w:hAnsi="仿宋_GB2312" w:eastAsia="仿宋_GB2312" w:cs="仿宋_GB2312"/>
          <w:color w:val="333333"/>
          <w:spacing w:val="8"/>
          <w:sz w:val="32"/>
          <w:szCs w:val="32"/>
        </w:rPr>
      </w:pPr>
      <w:r>
        <w:rPr>
          <w:rFonts w:hint="eastAsia" w:ascii="仿宋_GB2312" w:hAnsi="仿宋_GB2312" w:eastAsia="仿宋_GB2312" w:cs="仿宋_GB2312"/>
          <w:color w:val="333333"/>
          <w:spacing w:val="8"/>
          <w:sz w:val="32"/>
          <w:szCs w:val="32"/>
        </w:rPr>
        <w:t>抽查事项需要请专家参与的，可从专家名录库中选派。发现执法检查人员、专家与被检查对象之间存在利害关系的，应当重新选派。</w:t>
      </w:r>
    </w:p>
    <w:p>
      <w:pPr>
        <w:pStyle w:val="3"/>
        <w:shd w:val="clear" w:color="auto" w:fill="FFFFFF"/>
        <w:spacing w:before="0" w:beforeAutospacing="0" w:after="0" w:afterAutospacing="0" w:line="560" w:lineRule="exact"/>
        <w:ind w:firstLine="675" w:firstLineChars="200"/>
        <w:rPr>
          <w:rFonts w:ascii="仿宋_GB2312" w:hAnsi="仿宋_GB2312" w:eastAsia="仿宋_GB2312" w:cs="仿宋_GB2312"/>
          <w:color w:val="333333"/>
          <w:spacing w:val="8"/>
          <w:sz w:val="32"/>
          <w:szCs w:val="32"/>
        </w:rPr>
      </w:pPr>
      <w:r>
        <w:rPr>
          <w:rStyle w:val="6"/>
          <w:rFonts w:hint="eastAsia" w:ascii="仿宋_GB2312" w:hAnsi="仿宋_GB2312" w:eastAsia="仿宋_GB2312" w:cs="仿宋_GB2312"/>
          <w:color w:val="333333"/>
          <w:spacing w:val="8"/>
          <w:sz w:val="32"/>
          <w:szCs w:val="32"/>
        </w:rPr>
        <w:t>第二十条</w:t>
      </w:r>
      <w:r>
        <w:rPr>
          <w:rStyle w:val="6"/>
          <w:rFonts w:ascii="仿宋_GB2312" w:hAnsi="仿宋_GB2312" w:eastAsia="仿宋_GB2312" w:cs="仿宋_GB2312"/>
          <w:color w:val="333333"/>
          <w:spacing w:val="8"/>
          <w:sz w:val="32"/>
          <w:szCs w:val="32"/>
        </w:rPr>
        <w:t> </w:t>
      </w:r>
      <w:r>
        <w:rPr>
          <w:rStyle w:val="9"/>
          <w:rFonts w:ascii="仿宋_GB2312" w:hAnsi="仿宋_GB2312" w:eastAsia="仿宋_GB2312" w:cs="仿宋_GB2312"/>
          <w:color w:val="333333"/>
          <w:spacing w:val="8"/>
          <w:sz w:val="32"/>
          <w:szCs w:val="32"/>
        </w:rPr>
        <w:t> </w:t>
      </w:r>
      <w:r>
        <w:rPr>
          <w:rFonts w:hint="eastAsia" w:ascii="仿宋_GB2312" w:hAnsi="仿宋_GB2312" w:eastAsia="仿宋_GB2312" w:cs="仿宋_GB2312"/>
          <w:color w:val="333333"/>
          <w:spacing w:val="8"/>
          <w:sz w:val="32"/>
          <w:szCs w:val="32"/>
        </w:rPr>
        <w:t>随机抽取检查对象和随机选派执法检查人员，均应运用电子化手段随机抽取，全程留痕。</w:t>
      </w:r>
    </w:p>
    <w:p>
      <w:pPr>
        <w:pStyle w:val="3"/>
        <w:shd w:val="clear" w:color="auto" w:fill="FFFFFF"/>
        <w:spacing w:before="0" w:beforeAutospacing="0" w:after="0" w:afterAutospacing="0" w:line="560" w:lineRule="exact"/>
        <w:ind w:firstLine="675" w:firstLineChars="200"/>
        <w:rPr>
          <w:rFonts w:ascii="仿宋_GB2312" w:hAnsi="仿宋_GB2312" w:eastAsia="仿宋_GB2312" w:cs="仿宋_GB2312"/>
          <w:color w:val="333333"/>
          <w:spacing w:val="8"/>
          <w:sz w:val="32"/>
          <w:szCs w:val="32"/>
        </w:rPr>
      </w:pPr>
      <w:r>
        <w:rPr>
          <w:rStyle w:val="6"/>
          <w:rFonts w:hint="eastAsia" w:ascii="仿宋_GB2312" w:hAnsi="仿宋_GB2312" w:eastAsia="仿宋_GB2312" w:cs="仿宋_GB2312"/>
          <w:color w:val="333333"/>
          <w:spacing w:val="8"/>
          <w:sz w:val="32"/>
          <w:szCs w:val="32"/>
        </w:rPr>
        <w:t>第二十一条</w:t>
      </w:r>
      <w:r>
        <w:rPr>
          <w:rFonts w:ascii="仿宋_GB2312" w:hAnsi="仿宋_GB2312" w:eastAsia="仿宋_GB2312" w:cs="仿宋_GB2312"/>
          <w:color w:val="333333"/>
          <w:spacing w:val="8"/>
          <w:sz w:val="32"/>
          <w:szCs w:val="32"/>
        </w:rPr>
        <w:t xml:space="preserve">  </w:t>
      </w:r>
      <w:r>
        <w:rPr>
          <w:rFonts w:hint="eastAsia" w:ascii="仿宋_GB2312" w:hAnsi="仿宋_GB2312" w:eastAsia="仿宋_GB2312" w:cs="仿宋_GB2312"/>
          <w:color w:val="333333"/>
          <w:spacing w:val="8"/>
          <w:sz w:val="32"/>
          <w:szCs w:val="32"/>
        </w:rPr>
        <w:t>随机抽查可采取实地核查、书面检查、网络监测等检查方式；涉及专业领域的，可委托有资质的机构开展检验检测、财务审计、调查咨询等工作，或依法采用相关机构作出的鉴定结论。</w:t>
      </w:r>
    </w:p>
    <w:p>
      <w:pPr>
        <w:pStyle w:val="3"/>
        <w:shd w:val="clear" w:color="auto" w:fill="FFFFFF"/>
        <w:spacing w:before="0" w:beforeAutospacing="0" w:after="0" w:afterAutospacing="0" w:line="560" w:lineRule="exact"/>
        <w:ind w:firstLine="675" w:firstLineChars="200"/>
        <w:rPr>
          <w:rFonts w:ascii="仿宋_GB2312" w:hAnsi="仿宋_GB2312" w:eastAsia="仿宋_GB2312" w:cs="仿宋_GB2312"/>
          <w:color w:val="333333"/>
          <w:spacing w:val="8"/>
          <w:sz w:val="32"/>
          <w:szCs w:val="32"/>
        </w:rPr>
      </w:pPr>
      <w:r>
        <w:rPr>
          <w:rStyle w:val="6"/>
          <w:rFonts w:hint="eastAsia" w:ascii="仿宋_GB2312" w:hAnsi="仿宋_GB2312" w:eastAsia="仿宋_GB2312" w:cs="仿宋_GB2312"/>
          <w:color w:val="333333"/>
          <w:spacing w:val="8"/>
          <w:sz w:val="32"/>
          <w:szCs w:val="32"/>
        </w:rPr>
        <w:t>第二十二条</w:t>
      </w:r>
      <w:r>
        <w:rPr>
          <w:rFonts w:ascii="仿宋_GB2312" w:hAnsi="仿宋_GB2312" w:eastAsia="仿宋_GB2312" w:cs="仿宋_GB2312"/>
          <w:color w:val="333333"/>
          <w:spacing w:val="8"/>
          <w:sz w:val="32"/>
          <w:szCs w:val="32"/>
        </w:rPr>
        <w:t xml:space="preserve">  </w:t>
      </w:r>
      <w:r>
        <w:rPr>
          <w:rFonts w:hint="eastAsia" w:ascii="仿宋_GB2312" w:hAnsi="仿宋_GB2312" w:eastAsia="仿宋_GB2312" w:cs="仿宋_GB2312"/>
          <w:color w:val="333333"/>
          <w:spacing w:val="8"/>
          <w:sz w:val="32"/>
          <w:szCs w:val="32"/>
        </w:rPr>
        <w:t>执法检查人员应如实填写《随机抽查检查表》，按照“一次一档”原则归档保存。采取实地核查的，应由被检查对象法定代表人（负责人）对检查情况签字或者盖章确认；拒绝签字或者盖章的，执法检查人员应当注明原因，必要时邀请相关人员签字见证。</w:t>
      </w:r>
    </w:p>
    <w:p>
      <w:pPr>
        <w:pStyle w:val="3"/>
        <w:shd w:val="clear" w:color="auto" w:fill="FFFFFF"/>
        <w:spacing w:before="0" w:beforeAutospacing="0" w:after="0" w:afterAutospacing="0" w:line="560" w:lineRule="exact"/>
        <w:ind w:firstLine="675" w:firstLineChars="200"/>
        <w:rPr>
          <w:rFonts w:ascii="仿宋_GB2312" w:hAnsi="仿宋_GB2312" w:eastAsia="仿宋_GB2312" w:cs="仿宋_GB2312"/>
          <w:color w:val="333333"/>
          <w:spacing w:val="8"/>
          <w:sz w:val="32"/>
          <w:szCs w:val="32"/>
        </w:rPr>
      </w:pPr>
      <w:r>
        <w:rPr>
          <w:rStyle w:val="6"/>
          <w:rFonts w:hint="eastAsia" w:ascii="仿宋_GB2312" w:hAnsi="仿宋_GB2312" w:eastAsia="仿宋_GB2312" w:cs="仿宋_GB2312"/>
          <w:color w:val="333333"/>
          <w:spacing w:val="8"/>
          <w:sz w:val="32"/>
          <w:szCs w:val="32"/>
        </w:rPr>
        <w:t>第二十三条</w:t>
      </w:r>
      <w:r>
        <w:rPr>
          <w:rStyle w:val="6"/>
          <w:rFonts w:ascii="仿宋_GB2312" w:hAnsi="仿宋_GB2312" w:eastAsia="仿宋_GB2312" w:cs="仿宋_GB2312"/>
          <w:color w:val="333333"/>
          <w:spacing w:val="8"/>
          <w:sz w:val="32"/>
          <w:szCs w:val="32"/>
        </w:rPr>
        <w:t> </w:t>
      </w:r>
      <w:r>
        <w:rPr>
          <w:rStyle w:val="9"/>
          <w:rFonts w:ascii="仿宋_GB2312" w:hAnsi="仿宋_GB2312" w:eastAsia="仿宋_GB2312" w:cs="仿宋_GB2312"/>
          <w:b/>
          <w:bCs/>
          <w:color w:val="333333"/>
          <w:spacing w:val="8"/>
          <w:sz w:val="32"/>
          <w:szCs w:val="32"/>
        </w:rPr>
        <w:t> </w:t>
      </w:r>
      <w:r>
        <w:rPr>
          <w:rFonts w:hint="eastAsia" w:ascii="仿宋_GB2312" w:hAnsi="仿宋_GB2312" w:eastAsia="仿宋_GB2312" w:cs="仿宋_GB2312"/>
          <w:color w:val="333333"/>
          <w:spacing w:val="8"/>
          <w:sz w:val="32"/>
          <w:szCs w:val="32"/>
        </w:rPr>
        <w:t>按照“谁检查、谁录入、谁公示”的原则，检查部门原则上在完成检查之日起</w:t>
      </w:r>
      <w:r>
        <w:rPr>
          <w:rFonts w:ascii="仿宋_GB2312" w:hAnsi="仿宋_GB2312" w:eastAsia="仿宋_GB2312" w:cs="仿宋_GB2312"/>
          <w:color w:val="333333"/>
          <w:spacing w:val="8"/>
          <w:sz w:val="32"/>
          <w:szCs w:val="32"/>
        </w:rPr>
        <w:t>20</w:t>
      </w:r>
      <w:r>
        <w:rPr>
          <w:rFonts w:hint="eastAsia" w:ascii="仿宋_GB2312" w:hAnsi="仿宋_GB2312" w:eastAsia="仿宋_GB2312" w:cs="仿宋_GB2312"/>
          <w:color w:val="333333"/>
          <w:spacing w:val="8"/>
          <w:sz w:val="32"/>
          <w:szCs w:val="32"/>
        </w:rPr>
        <w:t>个工作日内，通过协同监管平台录入并公示抽查检查结果。自治区市场监管局负责将监管平台的抽查检查结果信息及时推送至自治区社会信用信息平台，并向社会公示。</w:t>
      </w:r>
    </w:p>
    <w:p>
      <w:pPr>
        <w:pStyle w:val="3"/>
        <w:shd w:val="clear" w:color="auto" w:fill="FFFFFF"/>
        <w:spacing w:before="0" w:beforeAutospacing="0" w:after="0" w:afterAutospacing="0" w:line="560" w:lineRule="exact"/>
        <w:ind w:firstLine="672" w:firstLineChars="200"/>
        <w:rPr>
          <w:rFonts w:ascii="仿宋_GB2312" w:hAnsi="仿宋_GB2312" w:eastAsia="仿宋_GB2312" w:cs="仿宋_GB2312"/>
          <w:color w:val="333333"/>
          <w:spacing w:val="8"/>
          <w:sz w:val="32"/>
          <w:szCs w:val="32"/>
        </w:rPr>
      </w:pPr>
      <w:r>
        <w:rPr>
          <w:rFonts w:hint="eastAsia" w:ascii="仿宋_GB2312" w:hAnsi="仿宋_GB2312" w:eastAsia="仿宋_GB2312" w:cs="仿宋_GB2312"/>
          <w:color w:val="333333"/>
          <w:spacing w:val="8"/>
          <w:sz w:val="32"/>
          <w:szCs w:val="32"/>
        </w:rPr>
        <w:t>抽查检查结果的公示只针对检查行为本身，后续对检查对象作出行政处罚等监管执法结果信息应按照规定程序另行公示。</w:t>
      </w:r>
    </w:p>
    <w:p>
      <w:pPr>
        <w:pStyle w:val="3"/>
        <w:shd w:val="clear" w:color="auto" w:fill="FFFFFF"/>
        <w:spacing w:before="0" w:beforeAutospacing="0" w:after="0" w:afterAutospacing="0" w:line="560" w:lineRule="exact"/>
        <w:ind w:firstLine="675" w:firstLineChars="200"/>
        <w:rPr>
          <w:rFonts w:ascii="仿宋_GB2312" w:hAnsi="仿宋_GB2312" w:eastAsia="仿宋_GB2312" w:cs="仿宋_GB2312"/>
          <w:color w:val="333333"/>
          <w:spacing w:val="8"/>
          <w:sz w:val="32"/>
          <w:szCs w:val="32"/>
        </w:rPr>
      </w:pPr>
      <w:r>
        <w:rPr>
          <w:rStyle w:val="6"/>
          <w:rFonts w:hint="eastAsia" w:ascii="仿宋_GB2312" w:hAnsi="仿宋_GB2312" w:eastAsia="仿宋_GB2312" w:cs="仿宋_GB2312"/>
          <w:color w:val="333333"/>
          <w:spacing w:val="8"/>
          <w:sz w:val="32"/>
          <w:szCs w:val="32"/>
        </w:rPr>
        <w:t>第二十四条</w:t>
      </w:r>
      <w:r>
        <w:rPr>
          <w:rFonts w:ascii="仿宋_GB2312" w:hAnsi="仿宋_GB2312" w:eastAsia="仿宋_GB2312" w:cs="仿宋_GB2312"/>
          <w:color w:val="333333"/>
          <w:spacing w:val="8"/>
          <w:sz w:val="32"/>
          <w:szCs w:val="32"/>
        </w:rPr>
        <w:t xml:space="preserve">  </w:t>
      </w:r>
      <w:r>
        <w:rPr>
          <w:rFonts w:hint="eastAsia" w:ascii="仿宋_GB2312" w:hAnsi="仿宋_GB2312" w:eastAsia="仿宋_GB2312" w:cs="仿宋_GB2312"/>
          <w:color w:val="333333"/>
          <w:spacing w:val="8"/>
          <w:sz w:val="32"/>
          <w:szCs w:val="32"/>
        </w:rPr>
        <w:t>检查过程中发现存在违法违规行为的，应当依法依规作出相应处理。各有关部门应建立部门内部违法违规行为线索的移转机制，由职责对应的内设机构处理。违法违规行为属于其他部门监管职责的，应将违法违规行为线索及时告知相关部门，涉嫌犯罪的要及时移送司法机关，并做好告知移送记录。</w:t>
      </w:r>
    </w:p>
    <w:p>
      <w:pPr>
        <w:pStyle w:val="3"/>
        <w:shd w:val="clear" w:color="auto" w:fill="FFFFFF"/>
        <w:spacing w:before="0" w:beforeAutospacing="0" w:after="0" w:afterAutospacing="0" w:line="560" w:lineRule="exact"/>
        <w:ind w:firstLine="675" w:firstLineChars="200"/>
        <w:rPr>
          <w:rFonts w:ascii="仿宋_GB2312" w:hAnsi="仿宋_GB2312" w:eastAsia="仿宋_GB2312" w:cs="仿宋_GB2312"/>
          <w:color w:val="333333"/>
          <w:spacing w:val="8"/>
          <w:sz w:val="32"/>
          <w:szCs w:val="32"/>
        </w:rPr>
      </w:pPr>
      <w:r>
        <w:rPr>
          <w:rStyle w:val="6"/>
          <w:rFonts w:hint="eastAsia" w:ascii="仿宋_GB2312" w:hAnsi="仿宋_GB2312" w:eastAsia="仿宋_GB2312" w:cs="仿宋_GB2312"/>
          <w:color w:val="333333"/>
          <w:spacing w:val="8"/>
          <w:sz w:val="32"/>
          <w:szCs w:val="32"/>
        </w:rPr>
        <w:t>第二十五条</w:t>
      </w:r>
      <w:r>
        <w:rPr>
          <w:rFonts w:ascii="仿宋_GB2312" w:hAnsi="仿宋_GB2312" w:eastAsia="仿宋_GB2312" w:cs="仿宋_GB2312"/>
          <w:color w:val="333333"/>
          <w:spacing w:val="8"/>
          <w:sz w:val="32"/>
          <w:szCs w:val="32"/>
        </w:rPr>
        <w:t xml:space="preserve">  </w:t>
      </w:r>
      <w:r>
        <w:rPr>
          <w:rFonts w:hint="eastAsia" w:ascii="仿宋_GB2312" w:hAnsi="仿宋_GB2312" w:eastAsia="仿宋_GB2312" w:cs="仿宋_GB2312"/>
          <w:color w:val="333333"/>
          <w:spacing w:val="8"/>
          <w:sz w:val="32"/>
          <w:szCs w:val="32"/>
        </w:rPr>
        <w:t>各有关部门应通过公示系统公示并接收其他部门抽查检查结果信息，实现抽查检查结果部门间互认，促进“双随机、一公开”监管与信用监管有效衔接，对抽查发现的违法违规及失信行为依法实施联合惩戒。</w:t>
      </w:r>
    </w:p>
    <w:p>
      <w:pPr>
        <w:pStyle w:val="3"/>
        <w:shd w:val="clear" w:color="auto" w:fill="FFFFFF"/>
        <w:spacing w:before="0" w:beforeAutospacing="0" w:after="0" w:afterAutospacing="0" w:line="560" w:lineRule="exact"/>
        <w:ind w:firstLine="480"/>
        <w:rPr>
          <w:rFonts w:ascii="仿宋_GB2312" w:hAnsi="仿宋_GB2312" w:eastAsia="仿宋_GB2312" w:cs="仿宋_GB2312"/>
          <w:color w:val="333333"/>
          <w:spacing w:val="8"/>
          <w:sz w:val="32"/>
          <w:szCs w:val="32"/>
        </w:rPr>
      </w:pPr>
    </w:p>
    <w:p>
      <w:pPr>
        <w:pStyle w:val="3"/>
        <w:shd w:val="clear" w:color="auto" w:fill="FFFFFF"/>
        <w:spacing w:before="0" w:beforeAutospacing="0" w:after="0" w:afterAutospacing="0" w:line="560" w:lineRule="exact"/>
        <w:ind w:firstLine="480"/>
        <w:jc w:val="center"/>
        <w:rPr>
          <w:rFonts w:ascii="仿宋_GB2312" w:hAnsi="仿宋_GB2312" w:eastAsia="仿宋_GB2312" w:cs="仿宋_GB2312"/>
          <w:color w:val="333333"/>
          <w:spacing w:val="8"/>
          <w:sz w:val="32"/>
          <w:szCs w:val="32"/>
        </w:rPr>
      </w:pPr>
      <w:r>
        <w:rPr>
          <w:rStyle w:val="6"/>
          <w:rFonts w:hint="eastAsia" w:ascii="仿宋_GB2312" w:hAnsi="仿宋_GB2312" w:eastAsia="仿宋_GB2312" w:cs="仿宋_GB2312"/>
          <w:color w:val="333333"/>
          <w:spacing w:val="8"/>
          <w:sz w:val="32"/>
          <w:szCs w:val="32"/>
        </w:rPr>
        <w:t>第四章</w:t>
      </w:r>
      <w:r>
        <w:rPr>
          <w:rStyle w:val="6"/>
          <w:rFonts w:ascii="仿宋_GB2312" w:hAnsi="仿宋_GB2312" w:eastAsia="仿宋_GB2312" w:cs="仿宋_GB2312"/>
          <w:color w:val="333333"/>
          <w:spacing w:val="8"/>
          <w:sz w:val="32"/>
          <w:szCs w:val="32"/>
        </w:rPr>
        <w:t xml:space="preserve">  </w:t>
      </w:r>
      <w:r>
        <w:rPr>
          <w:rStyle w:val="6"/>
          <w:rFonts w:hint="eastAsia" w:ascii="仿宋_GB2312" w:hAnsi="仿宋_GB2312" w:eastAsia="仿宋_GB2312" w:cs="仿宋_GB2312"/>
          <w:color w:val="333333"/>
          <w:spacing w:val="8"/>
          <w:sz w:val="32"/>
          <w:szCs w:val="32"/>
        </w:rPr>
        <w:t>工作职责</w:t>
      </w:r>
    </w:p>
    <w:p>
      <w:pPr>
        <w:pStyle w:val="3"/>
        <w:shd w:val="clear" w:color="auto" w:fill="FFFFFF"/>
        <w:spacing w:before="0" w:beforeAutospacing="0" w:after="0" w:afterAutospacing="0" w:line="560" w:lineRule="exact"/>
        <w:ind w:firstLine="480"/>
        <w:rPr>
          <w:rFonts w:ascii="仿宋_GB2312" w:hAnsi="仿宋_GB2312" w:eastAsia="仿宋_GB2312" w:cs="仿宋_GB2312"/>
          <w:color w:val="333333"/>
          <w:spacing w:val="8"/>
          <w:sz w:val="32"/>
          <w:szCs w:val="32"/>
        </w:rPr>
      </w:pPr>
    </w:p>
    <w:p>
      <w:pPr>
        <w:pStyle w:val="3"/>
        <w:shd w:val="clear" w:color="auto" w:fill="FFFFFF"/>
        <w:spacing w:before="0" w:beforeAutospacing="0" w:after="0" w:afterAutospacing="0" w:line="560" w:lineRule="exact"/>
        <w:ind w:firstLine="675" w:firstLineChars="200"/>
        <w:rPr>
          <w:rFonts w:ascii="仿宋_GB2312" w:hAnsi="仿宋_GB2312" w:eastAsia="仿宋_GB2312" w:cs="仿宋_GB2312"/>
          <w:color w:val="333333"/>
          <w:spacing w:val="8"/>
          <w:sz w:val="32"/>
          <w:szCs w:val="32"/>
        </w:rPr>
      </w:pPr>
      <w:r>
        <w:rPr>
          <w:rStyle w:val="6"/>
          <w:rFonts w:hint="eastAsia" w:ascii="仿宋_GB2312" w:hAnsi="仿宋_GB2312" w:eastAsia="仿宋_GB2312" w:cs="仿宋_GB2312"/>
          <w:color w:val="333333"/>
          <w:spacing w:val="8"/>
          <w:sz w:val="32"/>
          <w:szCs w:val="32"/>
        </w:rPr>
        <w:t>第二十六条</w:t>
      </w:r>
      <w:r>
        <w:rPr>
          <w:rStyle w:val="6"/>
          <w:rFonts w:ascii="仿宋_GB2312" w:hAnsi="仿宋_GB2312" w:eastAsia="仿宋_GB2312" w:cs="仿宋_GB2312"/>
          <w:color w:val="333333"/>
          <w:spacing w:val="8"/>
          <w:sz w:val="32"/>
          <w:szCs w:val="32"/>
        </w:rPr>
        <w:t> </w:t>
      </w:r>
      <w:r>
        <w:rPr>
          <w:rStyle w:val="9"/>
          <w:rFonts w:ascii="仿宋_GB2312" w:hAnsi="仿宋_GB2312" w:eastAsia="仿宋_GB2312" w:cs="仿宋_GB2312"/>
          <w:color w:val="333333"/>
          <w:spacing w:val="8"/>
          <w:sz w:val="32"/>
          <w:szCs w:val="32"/>
        </w:rPr>
        <w:t> </w:t>
      </w:r>
      <w:r>
        <w:rPr>
          <w:rFonts w:hint="eastAsia" w:ascii="仿宋_GB2312" w:hAnsi="仿宋_GB2312" w:eastAsia="仿宋_GB2312" w:cs="仿宋_GB2312"/>
          <w:color w:val="333333"/>
          <w:spacing w:val="8"/>
          <w:sz w:val="32"/>
          <w:szCs w:val="32"/>
        </w:rPr>
        <w:t>部门联合“双随机、一公开”监管按照政府主导、部门牵头、协同联动、统筹推进的原则，以“一单两库一细则”为基础，坚持全面覆盖、规范透明、问题导向、协同推进。</w:t>
      </w:r>
    </w:p>
    <w:p>
      <w:pPr>
        <w:pStyle w:val="3"/>
        <w:shd w:val="clear" w:color="auto" w:fill="FFFFFF"/>
        <w:spacing w:before="0" w:beforeAutospacing="0" w:after="0" w:afterAutospacing="0" w:line="560" w:lineRule="exact"/>
        <w:ind w:firstLine="672" w:firstLineChars="200"/>
        <w:rPr>
          <w:rFonts w:ascii="仿宋_GB2312" w:hAnsi="仿宋_GB2312" w:eastAsia="仿宋_GB2312" w:cs="仿宋_GB2312"/>
          <w:color w:val="333333"/>
          <w:spacing w:val="8"/>
          <w:sz w:val="32"/>
          <w:szCs w:val="32"/>
        </w:rPr>
      </w:pPr>
      <w:r>
        <w:rPr>
          <w:rFonts w:hint="eastAsia" w:ascii="仿宋_GB2312" w:hAnsi="仿宋_GB2312" w:eastAsia="仿宋_GB2312" w:cs="仿宋_GB2312"/>
          <w:color w:val="333333"/>
          <w:spacing w:val="8"/>
          <w:sz w:val="32"/>
          <w:szCs w:val="32"/>
        </w:rPr>
        <w:t>人民政府应加强对本行政区域“双随机、一公开”监管工作的组织领导、监督检查，建立由市场监管部门牵头的联席会议制度，保障部门联合“双随机、一公开”监管经费。</w:t>
      </w:r>
    </w:p>
    <w:p>
      <w:pPr>
        <w:pStyle w:val="3"/>
        <w:shd w:val="clear" w:color="auto" w:fill="FFFFFF"/>
        <w:spacing w:before="0" w:beforeAutospacing="0" w:after="0" w:afterAutospacing="0" w:line="560" w:lineRule="exact"/>
        <w:ind w:firstLine="672" w:firstLineChars="200"/>
        <w:rPr>
          <w:rFonts w:ascii="仿宋_GB2312" w:hAnsi="仿宋_GB2312" w:eastAsia="仿宋_GB2312" w:cs="仿宋_GB2312"/>
          <w:color w:val="333333"/>
          <w:spacing w:val="8"/>
          <w:sz w:val="32"/>
          <w:szCs w:val="32"/>
        </w:rPr>
      </w:pPr>
      <w:r>
        <w:rPr>
          <w:rFonts w:hint="eastAsia" w:ascii="仿宋_GB2312" w:hAnsi="仿宋_GB2312" w:eastAsia="仿宋_GB2312" w:cs="仿宋_GB2312"/>
          <w:color w:val="333333"/>
          <w:spacing w:val="8"/>
          <w:sz w:val="32"/>
          <w:szCs w:val="32"/>
        </w:rPr>
        <w:t>各有关部门负责推动、指导、督促本系统“双随机、一公开”监管工作，参加部门联合“双随机、一公开”监管。</w:t>
      </w:r>
    </w:p>
    <w:p>
      <w:pPr>
        <w:pStyle w:val="3"/>
        <w:shd w:val="clear" w:color="auto" w:fill="FFFFFF"/>
        <w:spacing w:before="0" w:beforeAutospacing="0" w:after="0" w:afterAutospacing="0" w:line="560" w:lineRule="exact"/>
        <w:ind w:firstLine="672" w:firstLineChars="200"/>
        <w:rPr>
          <w:rFonts w:ascii="仿宋_GB2312" w:hAnsi="仿宋_GB2312" w:eastAsia="仿宋_GB2312" w:cs="仿宋_GB2312"/>
          <w:color w:val="333333"/>
          <w:spacing w:val="8"/>
          <w:sz w:val="32"/>
          <w:szCs w:val="32"/>
        </w:rPr>
      </w:pPr>
      <w:r>
        <w:rPr>
          <w:rFonts w:hint="eastAsia" w:ascii="仿宋_GB2312" w:hAnsi="仿宋_GB2312" w:eastAsia="仿宋_GB2312" w:cs="仿宋_GB2312"/>
          <w:color w:val="333333"/>
          <w:spacing w:val="8"/>
          <w:sz w:val="32"/>
          <w:szCs w:val="32"/>
        </w:rPr>
        <w:t>各有关部门应按照年度抽查工作计划负责本部门和本部门发起的部门联合“双随机、一公开”监管工作的具体实施。</w:t>
      </w:r>
    </w:p>
    <w:p>
      <w:pPr>
        <w:pStyle w:val="3"/>
        <w:shd w:val="clear" w:color="auto" w:fill="FFFFFF"/>
        <w:spacing w:before="0" w:beforeAutospacing="0" w:after="0" w:afterAutospacing="0" w:line="560" w:lineRule="exact"/>
        <w:ind w:firstLine="675" w:firstLineChars="200"/>
        <w:rPr>
          <w:rFonts w:ascii="仿宋_GB2312" w:hAnsi="仿宋_GB2312" w:eastAsia="仿宋_GB2312" w:cs="仿宋_GB2312"/>
          <w:color w:val="333333"/>
          <w:spacing w:val="8"/>
          <w:sz w:val="32"/>
          <w:szCs w:val="32"/>
        </w:rPr>
      </w:pPr>
      <w:r>
        <w:rPr>
          <w:rStyle w:val="6"/>
          <w:rFonts w:hint="eastAsia" w:ascii="仿宋_GB2312" w:hAnsi="仿宋_GB2312" w:eastAsia="仿宋_GB2312" w:cs="仿宋_GB2312"/>
          <w:color w:val="333333"/>
          <w:spacing w:val="8"/>
          <w:sz w:val="32"/>
          <w:szCs w:val="32"/>
        </w:rPr>
        <w:t>第二十七条</w:t>
      </w:r>
      <w:r>
        <w:rPr>
          <w:rFonts w:ascii="仿宋_GB2312" w:hAnsi="仿宋_GB2312" w:eastAsia="仿宋_GB2312" w:cs="仿宋_GB2312"/>
          <w:color w:val="333333"/>
          <w:spacing w:val="8"/>
          <w:sz w:val="32"/>
          <w:szCs w:val="32"/>
        </w:rPr>
        <w:t> </w:t>
      </w:r>
      <w:r>
        <w:rPr>
          <w:rFonts w:hint="eastAsia" w:ascii="仿宋_GB2312" w:hAnsi="仿宋_GB2312" w:eastAsia="仿宋_GB2312" w:cs="仿宋_GB2312"/>
          <w:color w:val="333333"/>
          <w:spacing w:val="8"/>
          <w:sz w:val="32"/>
          <w:szCs w:val="32"/>
        </w:rPr>
        <w:t>市场监管部门负责本级各有关部门的协同监管平台操作培训，各有关部门负责本部门的抽查检查业务培训。</w:t>
      </w:r>
    </w:p>
    <w:p>
      <w:pPr>
        <w:pStyle w:val="3"/>
        <w:shd w:val="clear" w:color="auto" w:fill="FFFFFF"/>
        <w:spacing w:before="0" w:beforeAutospacing="0" w:after="0" w:afterAutospacing="0" w:line="560" w:lineRule="exact"/>
        <w:ind w:firstLine="672" w:firstLineChars="200"/>
        <w:rPr>
          <w:rFonts w:ascii="仿宋_GB2312" w:hAnsi="仿宋_GB2312" w:eastAsia="仿宋_GB2312" w:cs="仿宋_GB2312"/>
          <w:color w:val="333333"/>
          <w:spacing w:val="8"/>
          <w:sz w:val="32"/>
          <w:szCs w:val="32"/>
        </w:rPr>
      </w:pPr>
      <w:r>
        <w:rPr>
          <w:rFonts w:hint="eastAsia" w:ascii="仿宋_GB2312" w:hAnsi="仿宋_GB2312" w:eastAsia="仿宋_GB2312" w:cs="仿宋_GB2312"/>
          <w:color w:val="333333"/>
          <w:spacing w:val="8"/>
          <w:sz w:val="32"/>
          <w:szCs w:val="32"/>
        </w:rPr>
        <w:t>联合抽查发起部门原则上应在检查之前对执法检查人员进行业务培训。</w:t>
      </w:r>
    </w:p>
    <w:p>
      <w:pPr>
        <w:pStyle w:val="3"/>
        <w:shd w:val="clear" w:color="auto" w:fill="FFFFFF"/>
        <w:spacing w:before="0" w:beforeAutospacing="0" w:after="0" w:afterAutospacing="0" w:line="560" w:lineRule="exact"/>
        <w:ind w:firstLine="480"/>
        <w:jc w:val="center"/>
        <w:rPr>
          <w:rFonts w:ascii="仿宋_GB2312" w:hAnsi="仿宋_GB2312" w:eastAsia="仿宋_GB2312" w:cs="仿宋_GB2312"/>
          <w:color w:val="333333"/>
          <w:spacing w:val="8"/>
          <w:sz w:val="32"/>
          <w:szCs w:val="32"/>
        </w:rPr>
      </w:pPr>
      <w:r>
        <w:rPr>
          <w:rStyle w:val="6"/>
          <w:rFonts w:hint="eastAsia" w:ascii="仿宋_GB2312" w:hAnsi="仿宋_GB2312" w:eastAsia="仿宋_GB2312" w:cs="仿宋_GB2312"/>
          <w:color w:val="333333"/>
          <w:spacing w:val="8"/>
          <w:sz w:val="32"/>
          <w:szCs w:val="32"/>
        </w:rPr>
        <w:t>第五章</w:t>
      </w:r>
      <w:r>
        <w:rPr>
          <w:rStyle w:val="6"/>
          <w:rFonts w:ascii="仿宋_GB2312" w:hAnsi="仿宋_GB2312" w:eastAsia="仿宋_GB2312" w:cs="仿宋_GB2312"/>
          <w:color w:val="333333"/>
          <w:spacing w:val="8"/>
          <w:sz w:val="32"/>
          <w:szCs w:val="32"/>
        </w:rPr>
        <w:t xml:space="preserve">  </w:t>
      </w:r>
      <w:r>
        <w:rPr>
          <w:rStyle w:val="6"/>
          <w:rFonts w:hint="eastAsia" w:ascii="仿宋_GB2312" w:hAnsi="仿宋_GB2312" w:eastAsia="仿宋_GB2312" w:cs="仿宋_GB2312"/>
          <w:color w:val="333333"/>
          <w:spacing w:val="8"/>
          <w:sz w:val="32"/>
          <w:szCs w:val="32"/>
        </w:rPr>
        <w:t>责任追究</w:t>
      </w:r>
    </w:p>
    <w:p>
      <w:pPr>
        <w:pStyle w:val="3"/>
        <w:shd w:val="clear" w:color="auto" w:fill="FFFFFF"/>
        <w:spacing w:before="0" w:beforeAutospacing="0" w:after="0" w:afterAutospacing="0" w:line="560" w:lineRule="exact"/>
        <w:ind w:firstLine="480"/>
        <w:rPr>
          <w:rFonts w:ascii="仿宋_GB2312" w:hAnsi="仿宋_GB2312" w:eastAsia="仿宋_GB2312" w:cs="仿宋_GB2312"/>
          <w:color w:val="333333"/>
          <w:spacing w:val="8"/>
          <w:sz w:val="32"/>
          <w:szCs w:val="32"/>
        </w:rPr>
      </w:pPr>
    </w:p>
    <w:p>
      <w:pPr>
        <w:pStyle w:val="3"/>
        <w:shd w:val="clear" w:color="auto" w:fill="FFFFFF"/>
        <w:spacing w:before="0" w:beforeAutospacing="0" w:after="0" w:afterAutospacing="0" w:line="560" w:lineRule="exact"/>
        <w:ind w:firstLine="675" w:firstLineChars="200"/>
        <w:rPr>
          <w:rFonts w:ascii="仿宋_GB2312" w:hAnsi="仿宋_GB2312" w:eastAsia="仿宋_GB2312" w:cs="仿宋_GB2312"/>
          <w:color w:val="333333"/>
          <w:spacing w:val="8"/>
          <w:sz w:val="32"/>
          <w:szCs w:val="32"/>
        </w:rPr>
      </w:pPr>
      <w:r>
        <w:rPr>
          <w:rStyle w:val="6"/>
          <w:rFonts w:hint="eastAsia" w:ascii="仿宋_GB2312" w:hAnsi="仿宋_GB2312" w:eastAsia="仿宋_GB2312" w:cs="仿宋_GB2312"/>
          <w:color w:val="333333"/>
          <w:spacing w:val="8"/>
          <w:sz w:val="32"/>
          <w:szCs w:val="32"/>
        </w:rPr>
        <w:t>第二十八条</w:t>
      </w:r>
      <w:r>
        <w:rPr>
          <w:rStyle w:val="6"/>
          <w:rFonts w:ascii="仿宋_GB2312" w:hAnsi="仿宋_GB2312" w:eastAsia="仿宋_GB2312" w:cs="仿宋_GB2312"/>
          <w:color w:val="333333"/>
          <w:spacing w:val="8"/>
          <w:sz w:val="32"/>
          <w:szCs w:val="32"/>
        </w:rPr>
        <w:t> </w:t>
      </w:r>
      <w:r>
        <w:rPr>
          <w:rFonts w:hint="eastAsia" w:ascii="仿宋_GB2312" w:hAnsi="仿宋_GB2312" w:eastAsia="仿宋_GB2312" w:cs="仿宋_GB2312"/>
          <w:color w:val="333333"/>
          <w:spacing w:val="8"/>
          <w:sz w:val="32"/>
          <w:szCs w:val="32"/>
        </w:rPr>
        <w:t>按照“尽职照单免责、失职照单问责”的原则，既严格问责追责，又有效保护基层执法检查人员担当作为、干事创业的积极性。对未履行、不当履行或违法履行“双随机、一公开”监管职责的，要依法依规严肃处理；涉嫌犯罪的，移送有关机关依法处理。对严格依据随机抽查事项清单和相关工作要求开展“双随机、一公开”监管，市场主体出现问题的，应结合工作程序方法等进行综合分析，该免责的依法依规免予追究相关责任。</w:t>
      </w:r>
    </w:p>
    <w:p>
      <w:pPr>
        <w:pStyle w:val="3"/>
        <w:shd w:val="clear" w:color="auto" w:fill="FFFFFF"/>
        <w:spacing w:before="0" w:beforeAutospacing="0" w:after="0" w:afterAutospacing="0" w:line="560" w:lineRule="exact"/>
        <w:ind w:firstLine="480"/>
        <w:rPr>
          <w:rFonts w:ascii="仿宋_GB2312" w:hAnsi="仿宋_GB2312" w:eastAsia="仿宋_GB2312" w:cs="仿宋_GB2312"/>
          <w:color w:val="333333"/>
          <w:spacing w:val="8"/>
          <w:sz w:val="32"/>
          <w:szCs w:val="32"/>
        </w:rPr>
      </w:pPr>
    </w:p>
    <w:p>
      <w:pPr>
        <w:pStyle w:val="3"/>
        <w:shd w:val="clear" w:color="auto" w:fill="FFFFFF"/>
        <w:spacing w:before="0" w:beforeAutospacing="0" w:after="0" w:afterAutospacing="0" w:line="560" w:lineRule="exact"/>
        <w:ind w:firstLine="480"/>
        <w:jc w:val="center"/>
        <w:rPr>
          <w:rFonts w:ascii="仿宋_GB2312" w:hAnsi="仿宋_GB2312" w:eastAsia="仿宋_GB2312" w:cs="仿宋_GB2312"/>
          <w:color w:val="333333"/>
          <w:spacing w:val="8"/>
          <w:sz w:val="32"/>
          <w:szCs w:val="32"/>
        </w:rPr>
      </w:pPr>
      <w:r>
        <w:rPr>
          <w:rStyle w:val="6"/>
          <w:rFonts w:hint="eastAsia" w:ascii="仿宋_GB2312" w:hAnsi="仿宋_GB2312" w:eastAsia="仿宋_GB2312" w:cs="仿宋_GB2312"/>
          <w:color w:val="333333"/>
          <w:spacing w:val="8"/>
          <w:sz w:val="32"/>
          <w:szCs w:val="32"/>
        </w:rPr>
        <w:t>第六章</w:t>
      </w:r>
      <w:r>
        <w:rPr>
          <w:rStyle w:val="6"/>
          <w:rFonts w:ascii="仿宋_GB2312" w:hAnsi="仿宋_GB2312" w:eastAsia="仿宋_GB2312" w:cs="仿宋_GB2312"/>
          <w:color w:val="333333"/>
          <w:spacing w:val="8"/>
          <w:sz w:val="32"/>
          <w:szCs w:val="32"/>
        </w:rPr>
        <w:t xml:space="preserve">  </w:t>
      </w:r>
      <w:r>
        <w:rPr>
          <w:rStyle w:val="6"/>
          <w:rFonts w:hint="eastAsia" w:ascii="仿宋_GB2312" w:hAnsi="仿宋_GB2312" w:eastAsia="仿宋_GB2312" w:cs="仿宋_GB2312"/>
          <w:color w:val="333333"/>
          <w:spacing w:val="8"/>
          <w:sz w:val="32"/>
          <w:szCs w:val="32"/>
        </w:rPr>
        <w:t>附</w:t>
      </w:r>
      <w:r>
        <w:rPr>
          <w:rStyle w:val="6"/>
          <w:rFonts w:ascii="仿宋_GB2312" w:hAnsi="仿宋_GB2312" w:eastAsia="仿宋_GB2312" w:cs="仿宋_GB2312"/>
          <w:color w:val="333333"/>
          <w:spacing w:val="8"/>
          <w:sz w:val="32"/>
          <w:szCs w:val="32"/>
        </w:rPr>
        <w:t xml:space="preserve">    </w:t>
      </w:r>
      <w:r>
        <w:rPr>
          <w:rStyle w:val="6"/>
          <w:rFonts w:hint="eastAsia" w:ascii="仿宋_GB2312" w:hAnsi="仿宋_GB2312" w:eastAsia="仿宋_GB2312" w:cs="仿宋_GB2312"/>
          <w:color w:val="333333"/>
          <w:spacing w:val="8"/>
          <w:sz w:val="32"/>
          <w:szCs w:val="32"/>
        </w:rPr>
        <w:t>则</w:t>
      </w:r>
    </w:p>
    <w:p>
      <w:pPr>
        <w:pStyle w:val="3"/>
        <w:shd w:val="clear" w:color="auto" w:fill="FFFFFF"/>
        <w:spacing w:before="0" w:beforeAutospacing="0" w:after="0" w:afterAutospacing="0" w:line="560" w:lineRule="exact"/>
        <w:ind w:firstLine="480"/>
        <w:rPr>
          <w:rFonts w:ascii="仿宋_GB2312" w:hAnsi="仿宋_GB2312" w:eastAsia="仿宋_GB2312" w:cs="仿宋_GB2312"/>
          <w:color w:val="333333"/>
          <w:spacing w:val="8"/>
          <w:sz w:val="32"/>
          <w:szCs w:val="32"/>
        </w:rPr>
      </w:pPr>
    </w:p>
    <w:p>
      <w:pPr>
        <w:pStyle w:val="3"/>
        <w:shd w:val="clear" w:color="auto" w:fill="FFFFFF"/>
        <w:spacing w:before="0" w:beforeAutospacing="0" w:after="0" w:afterAutospacing="0" w:line="560" w:lineRule="exact"/>
        <w:ind w:firstLine="675" w:firstLineChars="200"/>
        <w:rPr>
          <w:rFonts w:ascii="仿宋_GB2312" w:hAnsi="仿宋_GB2312" w:eastAsia="仿宋_GB2312" w:cs="仿宋_GB2312"/>
          <w:color w:val="333333"/>
          <w:spacing w:val="8"/>
          <w:sz w:val="32"/>
          <w:szCs w:val="32"/>
        </w:rPr>
      </w:pPr>
      <w:r>
        <w:rPr>
          <w:rStyle w:val="6"/>
          <w:rFonts w:hint="eastAsia" w:ascii="仿宋_GB2312" w:hAnsi="仿宋_GB2312" w:eastAsia="仿宋_GB2312" w:cs="仿宋_GB2312"/>
          <w:color w:val="333333"/>
          <w:spacing w:val="8"/>
          <w:sz w:val="32"/>
          <w:szCs w:val="32"/>
        </w:rPr>
        <w:t>第二十九条</w:t>
      </w:r>
      <w:r>
        <w:rPr>
          <w:rStyle w:val="6"/>
          <w:rFonts w:ascii="仿宋_GB2312" w:hAnsi="仿宋_GB2312" w:eastAsia="仿宋_GB2312" w:cs="仿宋_GB2312"/>
          <w:color w:val="333333"/>
          <w:spacing w:val="8"/>
          <w:sz w:val="32"/>
          <w:szCs w:val="32"/>
        </w:rPr>
        <w:t> </w:t>
      </w:r>
      <w:r>
        <w:rPr>
          <w:rStyle w:val="9"/>
          <w:rFonts w:ascii="仿宋_GB2312" w:hAnsi="仿宋_GB2312" w:eastAsia="仿宋_GB2312" w:cs="仿宋_GB2312"/>
          <w:b/>
          <w:bCs/>
          <w:color w:val="333333"/>
          <w:spacing w:val="8"/>
          <w:sz w:val="32"/>
          <w:szCs w:val="32"/>
        </w:rPr>
        <w:t> </w:t>
      </w:r>
      <w:r>
        <w:rPr>
          <w:rFonts w:hint="eastAsia" w:ascii="仿宋_GB2312" w:hAnsi="仿宋_GB2312" w:eastAsia="仿宋_GB2312" w:cs="仿宋_GB2312"/>
          <w:color w:val="333333"/>
          <w:spacing w:val="8"/>
          <w:sz w:val="32"/>
          <w:szCs w:val="32"/>
        </w:rPr>
        <w:t>本办法自印发之日起施行。</w:t>
      </w:r>
    </w:p>
    <w:p>
      <w:pPr>
        <w:pStyle w:val="3"/>
        <w:shd w:val="clear" w:color="auto" w:fill="FFFFFF"/>
        <w:spacing w:before="0" w:beforeAutospacing="0" w:after="0" w:afterAutospacing="0" w:line="560" w:lineRule="exact"/>
        <w:ind w:firstLine="480"/>
        <w:rPr>
          <w:rFonts w:ascii="仿宋_GB2312" w:hAnsi="仿宋_GB2312" w:eastAsia="仿宋_GB2312" w:cs="仿宋_GB2312"/>
          <w:color w:val="333333"/>
          <w:spacing w:val="8"/>
          <w:sz w:val="32"/>
          <w:szCs w:val="32"/>
        </w:rPr>
      </w:pPr>
      <w:r>
        <w:rPr>
          <w:rFonts w:ascii="仿宋_GB2312" w:hAnsi="仿宋_GB2312" w:eastAsia="仿宋_GB2312" w:cs="仿宋_GB2312"/>
          <w:color w:val="333333"/>
          <w:spacing w:val="8"/>
          <w:sz w:val="32"/>
          <w:szCs w:val="32"/>
        </w:rPr>
        <w:t> </w:t>
      </w:r>
    </w:p>
    <w:p/>
    <w:p/>
    <w:p/>
    <w:p/>
    <w:p/>
    <w:p/>
    <w:p>
      <w:pPr>
        <w:pStyle w:val="3"/>
        <w:shd w:val="clear" w:color="auto" w:fill="FFFFFF"/>
        <w:spacing w:before="0" w:beforeAutospacing="0" w:after="0" w:afterAutospacing="0" w:line="560" w:lineRule="exact"/>
        <w:ind w:firstLine="3360" w:firstLineChars="1000"/>
        <w:rPr>
          <w:rFonts w:hint="eastAsia" w:ascii="仿宋_GB2312" w:hAnsi="仿宋_GB2312" w:eastAsia="仿宋_GB2312" w:cs="仿宋_GB2312"/>
          <w:color w:val="333333"/>
          <w:spacing w:val="8"/>
          <w:sz w:val="32"/>
          <w:szCs w:val="32"/>
        </w:rPr>
      </w:pPr>
      <w:r>
        <w:rPr>
          <w:rFonts w:hint="eastAsia" w:ascii="仿宋_GB2312" w:hAnsi="仿宋_GB2312" w:eastAsia="仿宋_GB2312" w:cs="仿宋_GB2312"/>
          <w:color w:val="333333"/>
          <w:spacing w:val="8"/>
          <w:sz w:val="32"/>
          <w:szCs w:val="32"/>
        </w:rPr>
        <w:t>五原县商事制度改革和事中事后</w:t>
      </w:r>
    </w:p>
    <w:p>
      <w:pPr>
        <w:pStyle w:val="3"/>
        <w:shd w:val="clear" w:color="auto" w:fill="FFFFFF"/>
        <w:spacing w:before="0" w:beforeAutospacing="0" w:after="0" w:afterAutospacing="0" w:line="560" w:lineRule="exact"/>
        <w:ind w:firstLine="3696" w:firstLineChars="1100"/>
        <w:rPr>
          <w:rFonts w:hint="eastAsia" w:ascii="仿宋_GB2312" w:hAnsi="仿宋_GB2312" w:eastAsia="仿宋_GB2312" w:cs="仿宋_GB2312"/>
          <w:color w:val="333333"/>
          <w:spacing w:val="8"/>
          <w:sz w:val="32"/>
          <w:szCs w:val="32"/>
        </w:rPr>
      </w:pPr>
      <w:r>
        <w:rPr>
          <w:rFonts w:hint="eastAsia" w:ascii="仿宋_GB2312" w:hAnsi="仿宋_GB2312" w:eastAsia="仿宋_GB2312" w:cs="仿宋_GB2312"/>
          <w:color w:val="333333"/>
          <w:spacing w:val="8"/>
          <w:sz w:val="32"/>
          <w:szCs w:val="32"/>
        </w:rPr>
        <w:t>监管协调工作领导小组办公室</w:t>
      </w:r>
    </w:p>
    <w:p>
      <w:pPr>
        <w:pStyle w:val="3"/>
        <w:shd w:val="clear" w:color="auto" w:fill="FFFFFF"/>
        <w:spacing w:before="0" w:beforeAutospacing="0" w:after="0" w:afterAutospacing="0" w:line="560" w:lineRule="exact"/>
        <w:ind w:firstLine="4704" w:firstLineChars="1400"/>
        <w:rPr>
          <w:rFonts w:hint="eastAsia" w:ascii="仿宋_GB2312" w:hAnsi="仿宋_GB2312" w:eastAsia="仿宋_GB2312" w:cs="仿宋_GB2312"/>
          <w:color w:val="333333"/>
          <w:spacing w:val="8"/>
          <w:sz w:val="32"/>
          <w:szCs w:val="32"/>
        </w:rPr>
      </w:pPr>
      <w:r>
        <w:rPr>
          <w:rFonts w:hint="eastAsia" w:ascii="仿宋_GB2312" w:hAnsi="仿宋_GB2312" w:eastAsia="仿宋_GB2312" w:cs="仿宋_GB2312"/>
          <w:color w:val="333333"/>
          <w:spacing w:val="8"/>
          <w:sz w:val="32"/>
          <w:szCs w:val="32"/>
        </w:rPr>
        <w:t>202</w:t>
      </w:r>
      <w:r>
        <w:rPr>
          <w:rFonts w:hint="eastAsia" w:ascii="仿宋_GB2312" w:hAnsi="仿宋_GB2312" w:eastAsia="仿宋_GB2312" w:cs="仿宋_GB2312"/>
          <w:color w:val="333333"/>
          <w:spacing w:val="8"/>
          <w:sz w:val="32"/>
          <w:szCs w:val="32"/>
          <w:lang w:val="en-US" w:eastAsia="zh-CN"/>
        </w:rPr>
        <w:t>3</w:t>
      </w:r>
      <w:r>
        <w:rPr>
          <w:rFonts w:hint="eastAsia" w:ascii="仿宋_GB2312" w:hAnsi="仿宋_GB2312" w:eastAsia="仿宋_GB2312" w:cs="仿宋_GB2312"/>
          <w:color w:val="333333"/>
          <w:spacing w:val="8"/>
          <w:sz w:val="32"/>
          <w:szCs w:val="32"/>
        </w:rPr>
        <w:t>年</w:t>
      </w:r>
      <w:r>
        <w:rPr>
          <w:rFonts w:hint="eastAsia" w:ascii="仿宋_GB2312" w:hAnsi="仿宋_GB2312" w:eastAsia="仿宋_GB2312" w:cs="仿宋_GB2312"/>
          <w:color w:val="333333"/>
          <w:spacing w:val="8"/>
          <w:sz w:val="32"/>
          <w:szCs w:val="32"/>
          <w:lang w:val="en-US" w:eastAsia="zh-CN"/>
        </w:rPr>
        <w:t>2</w:t>
      </w:r>
      <w:r>
        <w:rPr>
          <w:rFonts w:hint="eastAsia" w:ascii="仿宋_GB2312" w:hAnsi="仿宋_GB2312" w:eastAsia="仿宋_GB2312" w:cs="仿宋_GB2312"/>
          <w:color w:val="333333"/>
          <w:spacing w:val="8"/>
          <w:sz w:val="32"/>
          <w:szCs w:val="32"/>
        </w:rPr>
        <w:t>月10日</w:t>
      </w:r>
    </w:p>
    <w:p/>
    <w:p/>
    <w:p>
      <w:pPr>
        <w:sectPr>
          <w:footerReference r:id="rId3" w:type="default"/>
          <w:footerReference r:id="rId4" w:type="even"/>
          <w:pgSz w:w="11906" w:h="16838"/>
          <w:pgMar w:top="1440" w:right="1800" w:bottom="1440" w:left="1800" w:header="851" w:footer="992" w:gutter="0"/>
          <w:cols w:space="425" w:num="1"/>
          <w:docGrid w:type="lines" w:linePitch="312" w:charSpace="0"/>
        </w:sectPr>
      </w:pPr>
    </w:p>
    <w:p>
      <w:pPr>
        <w:rPr>
          <w:rFonts w:hint="eastAsia" w:eastAsia="宋体"/>
          <w:lang w:eastAsia="zh-CN"/>
        </w:rPr>
      </w:pPr>
      <w:bookmarkStart w:id="0" w:name="_GoBack"/>
      <w:bookmarkEnd w:id="0"/>
    </w:p>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微软雅黑"/>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_GB2312">
    <w:altName w:val="Times New Roman"/>
    <w:panose1 w:val="00000000000000000000"/>
    <w:charset w:val="00"/>
    <w:family w:val="auto"/>
    <w:pitch w:val="default"/>
    <w:sig w:usb0="00000000" w:usb1="00000000" w:usb2="00000000" w:usb3="00000000" w:csb0="0000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7"/>
      </w:rPr>
    </w:pPr>
    <w:r>
      <w:rPr>
        <w:rStyle w:val="7"/>
      </w:rPr>
      <w:fldChar w:fldCharType="begin"/>
    </w:r>
    <w:r>
      <w:rPr>
        <w:rStyle w:val="7"/>
      </w:rPr>
      <w:instrText xml:space="preserve">PAGE  </w:instrText>
    </w:r>
    <w:r>
      <w:rPr>
        <w:rStyle w:val="7"/>
      </w:rPr>
      <w:fldChar w:fldCharType="separate"/>
    </w:r>
    <w:r>
      <w:rPr>
        <w:rStyle w:val="7"/>
      </w:rPr>
      <w:t>5</w:t>
    </w:r>
    <w:r>
      <w:rPr>
        <w:rStyle w:val="7"/>
      </w:rPr>
      <w:fldChar w:fldCharType="end"/>
    </w:r>
  </w:p>
  <w:p>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7"/>
      </w:rPr>
    </w:pPr>
    <w:r>
      <w:rPr>
        <w:rStyle w:val="7"/>
      </w:rPr>
      <w:fldChar w:fldCharType="begin"/>
    </w:r>
    <w:r>
      <w:rPr>
        <w:rStyle w:val="7"/>
      </w:rPr>
      <w:instrText xml:space="preserve">PAGE  </w:instrText>
    </w:r>
    <w:r>
      <w:rPr>
        <w:rStyle w:val="7"/>
      </w:rPr>
      <w:fldChar w:fldCharType="end"/>
    </w:r>
  </w:p>
  <w:p>
    <w:pPr>
      <w:pStyle w:val="2"/>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3MTJkMTI0YWVkMDRlNTZhYzIxNmI3Y2ZjOTJlNDEifQ=="/>
  </w:docVars>
  <w:rsids>
    <w:rsidRoot w:val="61BB5594"/>
    <w:rsid w:val="00031978"/>
    <w:rsid w:val="000E458E"/>
    <w:rsid w:val="001D0660"/>
    <w:rsid w:val="00461C97"/>
    <w:rsid w:val="004C7C13"/>
    <w:rsid w:val="005F75F6"/>
    <w:rsid w:val="00626EF2"/>
    <w:rsid w:val="00645E78"/>
    <w:rsid w:val="006C2E1A"/>
    <w:rsid w:val="008D3FA6"/>
    <w:rsid w:val="00A40C3A"/>
    <w:rsid w:val="00A953ED"/>
    <w:rsid w:val="00C37911"/>
    <w:rsid w:val="00C774CB"/>
    <w:rsid w:val="00F1031C"/>
    <w:rsid w:val="01E5606C"/>
    <w:rsid w:val="03243E5F"/>
    <w:rsid w:val="0AA65067"/>
    <w:rsid w:val="20510039"/>
    <w:rsid w:val="29B0624A"/>
    <w:rsid w:val="2B194B83"/>
    <w:rsid w:val="373D4E10"/>
    <w:rsid w:val="4CCA71AF"/>
    <w:rsid w:val="4E18286A"/>
    <w:rsid w:val="55172786"/>
    <w:rsid w:val="569C196F"/>
    <w:rsid w:val="61BB5594"/>
    <w:rsid w:val="65493E81"/>
    <w:rsid w:val="6958111C"/>
    <w:rsid w:val="7A6A46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qFormat/>
    <w:uiPriority w:val="99"/>
    <w:pPr>
      <w:tabs>
        <w:tab w:val="center" w:pos="4153"/>
        <w:tab w:val="right" w:pos="8306"/>
      </w:tabs>
      <w:snapToGrid w:val="0"/>
      <w:jc w:val="left"/>
    </w:pPr>
    <w:rPr>
      <w:sz w:val="18"/>
      <w:szCs w:val="18"/>
    </w:rPr>
  </w:style>
  <w:style w:type="paragraph" w:styleId="3">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6">
    <w:name w:val="Strong"/>
    <w:basedOn w:val="5"/>
    <w:qFormat/>
    <w:uiPriority w:val="99"/>
    <w:rPr>
      <w:rFonts w:cs="Times New Roman"/>
      <w:b/>
      <w:bCs/>
    </w:rPr>
  </w:style>
  <w:style w:type="character" w:styleId="7">
    <w:name w:val="page number"/>
    <w:basedOn w:val="5"/>
    <w:uiPriority w:val="99"/>
    <w:rPr>
      <w:rFonts w:cs="Times New Roman"/>
    </w:rPr>
  </w:style>
  <w:style w:type="character" w:customStyle="1" w:styleId="8">
    <w:name w:val="页脚 字符"/>
    <w:basedOn w:val="5"/>
    <w:link w:val="2"/>
    <w:semiHidden/>
    <w:qFormat/>
    <w:uiPriority w:val="99"/>
    <w:rPr>
      <w:sz w:val="18"/>
      <w:szCs w:val="18"/>
    </w:rPr>
  </w:style>
  <w:style w:type="character" w:customStyle="1" w:styleId="9">
    <w:name w:val="apple-converted-space"/>
    <w:basedOn w:val="5"/>
    <w:qFormat/>
    <w:uiPriority w:val="99"/>
    <w:rPr>
      <w:rFonts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4588</Words>
  <Characters>4622</Characters>
  <Lines>68</Lines>
  <Paragraphs>19</Paragraphs>
  <TotalTime>35</TotalTime>
  <ScaleCrop>false</ScaleCrop>
  <LinksUpToDate>false</LinksUpToDate>
  <CharactersWithSpaces>4769</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2020-03-23T01:56:00Z</dcterms:created>
  <dc:creator>Administrator</dc:creator>
  <cp:lastModifiedBy>王志</cp:lastModifiedBy>
  <cp:lastPrinted>2021-10-14T10:27:00Z</cp:lastPrinted>
  <dcterms:modified xsi:type="dcterms:W3CDTF">2023-10-08T02:41:31Z</dcterms:modified>
  <dc:title>五原县市场监管领域部门联合</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22C1E3CC1B9B4C40A625D2BA02CB13C6_13</vt:lpwstr>
  </property>
</Properties>
</file>