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283" w:leftChars="0" w:firstLine="0" w:firstLineChars="0"/>
        <w:jc w:val="center"/>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关于进一步优化水电气暖通信报装接入外线工程涉</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283" w:leftChars="0" w:firstLine="0" w:firstLineChars="0"/>
        <w:jc w:val="center"/>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及行政审批事项的通知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83" w:leftChars="0" w:firstLine="0" w:firstLineChars="0"/>
        <w:jc w:val="left"/>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各驻县单位，五原供电公司，旗县供水供气供热公司，联通、移动、电信、广电和铁塔公司：</w:t>
      </w:r>
    </w:p>
    <w:p>
      <w:pPr>
        <w:ind w:left="-420" w:leftChars="-200" w:firstLine="1052" w:firstLineChars="329"/>
      </w:pPr>
      <w:bookmarkStart w:id="0" w:name="_GoBack"/>
      <w:bookmarkEnd w:id="0"/>
      <w:r>
        <w:rPr>
          <w:rFonts w:hint="default" w:ascii="仿宋_GB2312" w:hAnsi="仿宋_GB2312" w:eastAsia="仿宋_GB2312" w:cs="仿宋_GB2312"/>
          <w:color w:val="auto"/>
          <w:sz w:val="32"/>
          <w:szCs w:val="32"/>
          <w:highlight w:val="none"/>
          <w:lang w:val="en-US" w:eastAsia="zh-CN"/>
        </w:rPr>
        <w:t>为进一步优化营商环境、提升服务质量，提高供水、供电、供气、供暖、通信、排水接入外线工程行政审批效率，持续提升企业的满意度和获得感，现将巴彦淖尔市工程建设项目审批制度改革工作领导小组办公室下发的《关于优化水电气暖网报装接入外线工程涉及行政审批事项的通知》（巴工改办发（2022）24号）转发你们。请按照文件要求落实相关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604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index 6"/>
    <w:basedOn w:val="1"/>
    <w:next w:val="1"/>
    <w:qFormat/>
    <w:uiPriority w:val="99"/>
    <w:pPr>
      <w:autoSpaceDE w:val="0"/>
      <w:autoSpaceDN w:val="0"/>
      <w:spacing w:line="360" w:lineRule="auto"/>
      <w:ind w:left="-275" w:leftChars="-135" w:hanging="22" w:hangingChars="6"/>
      <w:jc w:val="center"/>
    </w:pPr>
    <w:rPr>
      <w:rFonts w:ascii="方正小标宋_GBK" w:hAnsi="仿宋_GB2312" w:eastAsia="方正小标宋_GBK" w:cs="仿宋_GB2312"/>
      <w:kern w:val="0"/>
      <w:sz w:val="36"/>
      <w:szCs w:val="36"/>
      <w:lang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YXB-WANG</dc:creator>
  <cp:lastModifiedBy>YXB-WANG</cp:lastModifiedBy>
  <dcterms:modified xsi:type="dcterms:W3CDTF">2023-10-09T10:11:05Z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F5312D7D12D84E42A494619825E07216</vt:lpwstr>
  </property>
</Properties>
</file>