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sz w:val="36"/>
          <w:szCs w:val="36"/>
        </w:rPr>
      </w:pPr>
    </w:p>
    <w:p>
      <w:pPr>
        <w:rPr>
          <w:rFonts w:eastAsia="仿宋_GB2312"/>
          <w:sz w:val="36"/>
          <w:szCs w:val="36"/>
        </w:rPr>
      </w:pPr>
    </w:p>
    <w:p>
      <w:pPr>
        <w:rPr>
          <w:rFonts w:eastAsia="仿宋_GB2312"/>
          <w:sz w:val="36"/>
          <w:szCs w:val="36"/>
        </w:rPr>
      </w:pPr>
    </w:p>
    <w:p>
      <w:pPr>
        <w:rPr>
          <w:rFonts w:eastAsia="仿宋_GB2312"/>
          <w:sz w:val="36"/>
          <w:szCs w:val="36"/>
        </w:rPr>
      </w:pPr>
    </w:p>
    <w:p>
      <w:pPr>
        <w:rPr>
          <w:rFonts w:eastAsia="仿宋_GB2312"/>
          <w:sz w:val="36"/>
          <w:szCs w:val="36"/>
        </w:rPr>
      </w:pPr>
    </w:p>
    <w:p>
      <w:pPr>
        <w:adjustRightInd w:val="0"/>
        <w:snapToGrid w:val="0"/>
        <w:jc w:val="center"/>
        <w:outlineLvl w:val="0"/>
        <w:rPr>
          <w:rFonts w:eastAsia="方正小标宋_GBK"/>
          <w:bCs/>
          <w:sz w:val="72"/>
          <w:szCs w:val="72"/>
        </w:rPr>
      </w:pPr>
      <w:r>
        <w:rPr>
          <w:rFonts w:eastAsia="方正小标宋_GBK"/>
          <w:bCs/>
          <w:sz w:val="72"/>
          <w:szCs w:val="72"/>
        </w:rPr>
        <w:t>建设项目环境影响报告表</w:t>
      </w:r>
    </w:p>
    <w:p>
      <w:pPr>
        <w:adjustRightInd w:val="0"/>
        <w:snapToGrid w:val="0"/>
        <w:spacing w:before="192" w:beforeLines="80"/>
        <w:jc w:val="center"/>
        <w:rPr>
          <w:rFonts w:eastAsia="楷体_GB2312"/>
          <w:bCs/>
          <w:sz w:val="48"/>
          <w:szCs w:val="48"/>
        </w:rPr>
      </w:pPr>
      <w:r>
        <w:rPr>
          <w:rFonts w:eastAsia="楷体_GB2312"/>
          <w:bCs/>
          <w:sz w:val="48"/>
          <w:szCs w:val="48"/>
        </w:rPr>
        <w:t>（污染影响类）</w:t>
      </w:r>
    </w:p>
    <w:p>
      <w:pPr>
        <w:adjustRightInd w:val="0"/>
        <w:snapToGrid w:val="0"/>
        <w:spacing w:line="288" w:lineRule="auto"/>
        <w:jc w:val="center"/>
        <w:rPr>
          <w:rFonts w:eastAsia="华文仿宋"/>
          <w:kern w:val="44"/>
          <w:sz w:val="44"/>
          <w:szCs w:val="44"/>
        </w:rPr>
      </w:pPr>
    </w:p>
    <w:p>
      <w:pPr>
        <w:jc w:val="center"/>
        <w:rPr>
          <w:rFonts w:eastAsia="仿宋"/>
          <w:sz w:val="52"/>
          <w:szCs w:val="52"/>
        </w:rPr>
      </w:pPr>
    </w:p>
    <w:p>
      <w:pPr>
        <w:rPr>
          <w:rFonts w:eastAsia="仿宋"/>
          <w:sz w:val="44"/>
          <w:szCs w:val="44"/>
        </w:rPr>
      </w:pPr>
    </w:p>
    <w:p>
      <w:pPr>
        <w:rPr>
          <w:rFonts w:eastAsia="仿宋"/>
          <w:sz w:val="44"/>
          <w:szCs w:val="44"/>
        </w:rPr>
      </w:pPr>
    </w:p>
    <w:p>
      <w:pPr>
        <w:pStyle w:val="7"/>
      </w:pPr>
    </w:p>
    <w:p>
      <w:pPr>
        <w:adjustRightInd w:val="0"/>
        <w:snapToGrid w:val="0"/>
        <w:spacing w:line="288" w:lineRule="auto"/>
        <w:ind w:firstLine="720" w:firstLineChars="200"/>
        <w:jc w:val="left"/>
        <w:rPr>
          <w:rFonts w:hint="eastAsia" w:eastAsia="仿宋_GB2312"/>
          <w:sz w:val="36"/>
          <w:szCs w:val="36"/>
          <w:u w:val="single"/>
        </w:rPr>
      </w:pPr>
      <w:r>
        <w:rPr>
          <w:rFonts w:eastAsia="仿宋_GB2312"/>
          <w:sz w:val="36"/>
          <w:szCs w:val="36"/>
        </w:rPr>
        <w:t>项目名称：</w:t>
      </w:r>
      <w:r>
        <w:rPr>
          <w:rFonts w:hint="eastAsia" w:eastAsia="仿宋_GB2312"/>
          <w:sz w:val="36"/>
          <w:szCs w:val="36"/>
          <w:u w:val="single"/>
        </w:rPr>
        <w:t>五原县银定图镇丰乐村蒙仓商贸农</w:t>
      </w:r>
    </w:p>
    <w:p>
      <w:pPr>
        <w:adjustRightInd w:val="0"/>
        <w:snapToGrid w:val="0"/>
        <w:spacing w:line="288" w:lineRule="auto"/>
        <w:ind w:left="0" w:leftChars="0" w:firstLine="2520" w:firstLineChars="700"/>
        <w:jc w:val="left"/>
        <w:rPr>
          <w:rFonts w:eastAsia="仿宋_GB2312"/>
          <w:sz w:val="36"/>
          <w:szCs w:val="36"/>
          <w:u w:val="single"/>
        </w:rPr>
      </w:pPr>
      <w:r>
        <w:rPr>
          <w:rFonts w:hint="eastAsia" w:eastAsia="仿宋_GB2312"/>
          <w:sz w:val="36"/>
          <w:szCs w:val="36"/>
          <w:u w:val="single"/>
        </w:rPr>
        <w:t>产品加工园区建设项目</w:t>
      </w:r>
    </w:p>
    <w:p>
      <w:pPr>
        <w:adjustRightInd w:val="0"/>
        <w:snapToGrid w:val="0"/>
        <w:spacing w:line="288" w:lineRule="auto"/>
        <w:ind w:firstLine="720" w:firstLineChars="200"/>
        <w:jc w:val="left"/>
        <w:rPr>
          <w:rFonts w:eastAsia="仿宋_GB2312"/>
          <w:sz w:val="36"/>
          <w:szCs w:val="36"/>
          <w:u w:val="single"/>
        </w:rPr>
      </w:pPr>
      <w:r>
        <w:rPr>
          <w:rFonts w:eastAsia="仿宋_GB2312"/>
          <w:sz w:val="36"/>
          <w:szCs w:val="36"/>
        </w:rPr>
        <w:t>建设单位（盖章）：</w:t>
      </w:r>
      <w:r>
        <w:rPr>
          <w:rFonts w:hint="eastAsia" w:eastAsia="仿宋_GB2312"/>
          <w:sz w:val="36"/>
          <w:szCs w:val="36"/>
          <w:u w:val="single"/>
        </w:rPr>
        <w:t>五原县银定图镇</w:t>
      </w:r>
      <w:r>
        <w:rPr>
          <w:rFonts w:hint="eastAsia" w:eastAsia="仿宋_GB2312"/>
          <w:sz w:val="36"/>
          <w:szCs w:val="36"/>
          <w:u w:val="single"/>
          <w:lang w:val="en-US" w:eastAsia="zh-CN"/>
        </w:rPr>
        <w:t>人民政府</w:t>
      </w:r>
    </w:p>
    <w:p>
      <w:pPr>
        <w:adjustRightInd w:val="0"/>
        <w:snapToGrid w:val="0"/>
        <w:spacing w:line="288" w:lineRule="auto"/>
        <w:ind w:firstLine="720" w:firstLineChars="200"/>
        <w:jc w:val="left"/>
        <w:rPr>
          <w:rFonts w:eastAsia="仿宋_GB2312"/>
          <w:sz w:val="36"/>
          <w:szCs w:val="36"/>
          <w:u w:val="single"/>
        </w:rPr>
      </w:pPr>
      <w:r>
        <w:rPr>
          <w:rFonts w:eastAsia="仿宋_GB2312"/>
          <w:sz w:val="36"/>
          <w:szCs w:val="36"/>
        </w:rPr>
        <w:t>编制日期：</w:t>
      </w:r>
      <w:r>
        <w:rPr>
          <w:rFonts w:eastAsia="仿宋_GB2312"/>
          <w:sz w:val="36"/>
          <w:szCs w:val="36"/>
          <w:u w:val="single"/>
        </w:rPr>
        <w:t xml:space="preserve">      </w:t>
      </w:r>
      <w:r>
        <w:rPr>
          <w:rFonts w:hint="eastAsia" w:eastAsia="仿宋_GB2312"/>
          <w:sz w:val="36"/>
          <w:szCs w:val="36"/>
          <w:u w:val="single"/>
          <w:lang w:val="en-US" w:eastAsia="zh-CN"/>
        </w:rPr>
        <w:t xml:space="preserve"> </w:t>
      </w:r>
      <w:r>
        <w:rPr>
          <w:rFonts w:eastAsia="仿宋_GB2312"/>
          <w:sz w:val="36"/>
          <w:szCs w:val="36"/>
          <w:u w:val="single"/>
        </w:rPr>
        <w:t xml:space="preserve">    202</w:t>
      </w:r>
      <w:r>
        <w:rPr>
          <w:rFonts w:hint="eastAsia" w:eastAsia="仿宋_GB2312"/>
          <w:sz w:val="36"/>
          <w:szCs w:val="36"/>
          <w:u w:val="single"/>
          <w:lang w:val="en-US" w:eastAsia="zh-CN"/>
        </w:rPr>
        <w:t>3</w:t>
      </w:r>
      <w:r>
        <w:rPr>
          <w:rFonts w:eastAsia="仿宋_GB2312"/>
          <w:sz w:val="36"/>
          <w:szCs w:val="36"/>
          <w:u w:val="single"/>
        </w:rPr>
        <w:t>年</w:t>
      </w:r>
      <w:r>
        <w:rPr>
          <w:rFonts w:hint="eastAsia" w:eastAsia="仿宋_GB2312"/>
          <w:sz w:val="36"/>
          <w:szCs w:val="36"/>
          <w:u w:val="single"/>
          <w:lang w:val="en-US" w:eastAsia="zh-CN"/>
        </w:rPr>
        <w:t>3</w:t>
      </w:r>
      <w:r>
        <w:rPr>
          <w:rFonts w:eastAsia="仿宋_GB2312"/>
          <w:sz w:val="36"/>
          <w:szCs w:val="36"/>
          <w:u w:val="single"/>
        </w:rPr>
        <w:t xml:space="preserve">月    </w:t>
      </w:r>
      <w:r>
        <w:rPr>
          <w:rFonts w:hint="eastAsia" w:eastAsia="仿宋_GB2312"/>
          <w:sz w:val="36"/>
          <w:szCs w:val="36"/>
          <w:u w:val="single"/>
          <w:lang w:val="en-US" w:eastAsia="zh-CN"/>
        </w:rPr>
        <w:t xml:space="preserve">   </w:t>
      </w:r>
      <w:r>
        <w:rPr>
          <w:rFonts w:eastAsia="仿宋_GB2312"/>
          <w:sz w:val="36"/>
          <w:szCs w:val="36"/>
          <w:u w:val="single"/>
        </w:rPr>
        <w:t xml:space="preserve">  </w:t>
      </w:r>
    </w:p>
    <w:p>
      <w:pPr>
        <w:adjustRightInd w:val="0"/>
        <w:snapToGrid w:val="0"/>
        <w:spacing w:line="288" w:lineRule="auto"/>
        <w:rPr>
          <w:rFonts w:eastAsia="仿宋_GB2312"/>
          <w:sz w:val="36"/>
          <w:szCs w:val="36"/>
        </w:rPr>
      </w:pPr>
      <w:bookmarkStart w:id="0" w:name="_Hlk57884087"/>
    </w:p>
    <w:bookmarkEnd w:id="0"/>
    <w:p>
      <w:pPr>
        <w:adjustRightInd w:val="0"/>
        <w:snapToGrid w:val="0"/>
        <w:spacing w:line="288" w:lineRule="auto"/>
        <w:rPr>
          <w:rFonts w:eastAsia="楷体_GB2312"/>
          <w:sz w:val="36"/>
          <w:szCs w:val="36"/>
        </w:rPr>
      </w:pPr>
    </w:p>
    <w:p>
      <w:pPr>
        <w:adjustRightInd w:val="0"/>
        <w:snapToGrid w:val="0"/>
        <w:spacing w:line="288" w:lineRule="auto"/>
        <w:jc w:val="center"/>
        <w:rPr>
          <w:rFonts w:eastAsia="仿宋_GB2312"/>
          <w:sz w:val="36"/>
          <w:szCs w:val="36"/>
        </w:rPr>
        <w:sectPr>
          <w:footerReference r:id="rId5" w:type="default"/>
          <w:footerReference r:id="rId6" w:type="even"/>
          <w:pgSz w:w="11906" w:h="16838"/>
          <w:pgMar w:top="1701" w:right="1531" w:bottom="1701" w:left="1531" w:header="851" w:footer="1077" w:gutter="0"/>
          <w:pgNumType w:start="3"/>
          <w:cols w:space="720" w:num="1"/>
          <w:docGrid w:linePitch="312" w:charSpace="0"/>
        </w:sectPr>
      </w:pPr>
      <w:r>
        <w:rPr>
          <w:rFonts w:eastAsia="楷体_GB2312"/>
          <w:sz w:val="36"/>
          <w:szCs w:val="36"/>
        </w:rPr>
        <w:t>中华人民共和国生态环境部制</w:t>
      </w:r>
      <w:r>
        <w:rPr>
          <w:rFonts w:eastAsia="仿宋_GB2312"/>
          <w:sz w:val="36"/>
          <w:szCs w:val="36"/>
        </w:rPr>
        <w:br w:type="page"/>
      </w:r>
    </w:p>
    <w:p>
      <w:pPr>
        <w:pStyle w:val="20"/>
        <w:adjustRightInd w:val="0"/>
        <w:snapToGrid w:val="0"/>
        <w:spacing w:before="0" w:beforeAutospacing="0" w:after="0" w:afterAutospacing="0" w:line="240" w:lineRule="auto"/>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23"/>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141"/>
        <w:gridCol w:w="2232"/>
        <w:gridCol w:w="1999"/>
        <w:gridCol w:w="26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建设项目名称</w:t>
            </w:r>
          </w:p>
        </w:tc>
        <w:tc>
          <w:tcPr>
            <w:tcW w:w="6930" w:type="dxa"/>
            <w:gridSpan w:val="3"/>
            <w:noWrap w:val="0"/>
            <w:vAlign w:val="center"/>
          </w:tcPr>
          <w:p>
            <w:pPr>
              <w:adjustRightInd w:val="0"/>
              <w:snapToGrid w:val="0"/>
              <w:spacing w:line="240" w:lineRule="auto"/>
              <w:jc w:val="center"/>
              <w:rPr>
                <w:color w:val="auto"/>
                <w:sz w:val="24"/>
              </w:rPr>
            </w:pPr>
            <w:r>
              <w:rPr>
                <w:rFonts w:hint="eastAsia"/>
                <w:snapToGrid w:val="0"/>
                <w:color w:val="auto"/>
                <w:kern w:val="0"/>
                <w:sz w:val="24"/>
              </w:rPr>
              <w:t>五原县银定图镇丰乐村蒙仓商贸农产品加工园区建设项目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项目代码</w:t>
            </w:r>
          </w:p>
        </w:tc>
        <w:tc>
          <w:tcPr>
            <w:tcW w:w="6930" w:type="dxa"/>
            <w:gridSpan w:val="3"/>
            <w:noWrap w:val="0"/>
            <w:vAlign w:val="center"/>
          </w:tcPr>
          <w:p>
            <w:pPr>
              <w:adjustRightInd w:val="0"/>
              <w:snapToGrid w:val="0"/>
              <w:spacing w:line="240" w:lineRule="auto"/>
              <w:jc w:val="center"/>
              <w:rPr>
                <w:color w:val="auto"/>
                <w:sz w:val="24"/>
              </w:rPr>
            </w:pPr>
            <w:r>
              <w:rPr>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建设单位联系人</w:t>
            </w:r>
          </w:p>
        </w:tc>
        <w:tc>
          <w:tcPr>
            <w:tcW w:w="2232" w:type="dxa"/>
            <w:noWrap w:val="0"/>
            <w:vAlign w:val="center"/>
          </w:tcPr>
          <w:p>
            <w:pPr>
              <w:adjustRightInd w:val="0"/>
              <w:snapToGrid w:val="0"/>
              <w:spacing w:line="240" w:lineRule="auto"/>
              <w:jc w:val="center"/>
              <w:rPr>
                <w:rFonts w:hint="eastAsia" w:eastAsia="宋体"/>
                <w:color w:val="auto"/>
                <w:sz w:val="24"/>
                <w:lang w:eastAsia="zh-CN"/>
              </w:rPr>
            </w:pPr>
            <w:r>
              <w:rPr>
                <w:rFonts w:hint="eastAsia"/>
                <w:color w:val="auto"/>
                <w:sz w:val="24"/>
                <w:lang w:val="en-US" w:eastAsia="zh-CN"/>
              </w:rPr>
              <w:t>张靖</w:t>
            </w:r>
          </w:p>
        </w:tc>
        <w:tc>
          <w:tcPr>
            <w:tcW w:w="1999" w:type="dxa"/>
            <w:noWrap w:val="0"/>
            <w:vAlign w:val="center"/>
          </w:tcPr>
          <w:p>
            <w:pPr>
              <w:adjustRightInd w:val="0"/>
              <w:snapToGrid w:val="0"/>
              <w:spacing w:line="240" w:lineRule="auto"/>
              <w:jc w:val="center"/>
              <w:rPr>
                <w:color w:val="auto"/>
                <w:sz w:val="24"/>
              </w:rPr>
            </w:pPr>
            <w:r>
              <w:rPr>
                <w:color w:val="auto"/>
                <w:sz w:val="24"/>
              </w:rPr>
              <w:t>联系方式</w:t>
            </w:r>
          </w:p>
        </w:tc>
        <w:tc>
          <w:tcPr>
            <w:tcW w:w="2699"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rPr>
              <w:t>1</w:t>
            </w:r>
            <w:r>
              <w:rPr>
                <w:rFonts w:hint="eastAsia"/>
                <w:color w:val="auto"/>
                <w:sz w:val="24"/>
                <w:lang w:val="en-US" w:eastAsia="zh-CN"/>
              </w:rPr>
              <w:t>5504783732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建设地点</w:t>
            </w:r>
          </w:p>
        </w:tc>
        <w:tc>
          <w:tcPr>
            <w:tcW w:w="6930" w:type="dxa"/>
            <w:gridSpan w:val="3"/>
            <w:noWrap w:val="0"/>
            <w:vAlign w:val="center"/>
          </w:tcPr>
          <w:p>
            <w:pPr>
              <w:adjustRightInd w:val="0"/>
              <w:snapToGrid w:val="0"/>
              <w:spacing w:line="240" w:lineRule="auto"/>
              <w:jc w:val="center"/>
              <w:rPr>
                <w:rFonts w:hint="eastAsia" w:eastAsia="宋体"/>
                <w:color w:val="auto"/>
                <w:sz w:val="24"/>
                <w:lang w:val="en-US" w:eastAsia="zh-CN"/>
              </w:rPr>
            </w:pPr>
            <w:r>
              <w:rPr>
                <w:rFonts w:hint="eastAsia"/>
                <w:color w:val="auto"/>
                <w:sz w:val="24"/>
                <w:u w:val="none"/>
              </w:rPr>
              <w:t>内蒙古自治区巴彦淖尔市五原县</w:t>
            </w:r>
            <w:r>
              <w:rPr>
                <w:rFonts w:hint="eastAsia"/>
                <w:snapToGrid w:val="0"/>
                <w:color w:val="auto"/>
                <w:kern w:val="0"/>
                <w:sz w:val="24"/>
              </w:rPr>
              <w:t>银定图镇</w:t>
            </w:r>
            <w:r>
              <w:rPr>
                <w:rFonts w:hint="eastAsia"/>
                <w:snapToGrid w:val="0"/>
                <w:color w:val="auto"/>
                <w:kern w:val="0"/>
                <w:sz w:val="24"/>
                <w:lang w:val="en-US" w:eastAsia="zh-CN"/>
              </w:rPr>
              <w:t>丰乐移民新村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地理坐标</w:t>
            </w:r>
          </w:p>
        </w:tc>
        <w:tc>
          <w:tcPr>
            <w:tcW w:w="6930" w:type="dxa"/>
            <w:gridSpan w:val="3"/>
            <w:noWrap w:val="0"/>
            <w:vAlign w:val="center"/>
          </w:tcPr>
          <w:p>
            <w:pPr>
              <w:spacing w:line="240" w:lineRule="auto"/>
              <w:jc w:val="center"/>
              <w:rPr>
                <w:color w:val="auto"/>
                <w:sz w:val="24"/>
              </w:rPr>
            </w:pPr>
            <w:r>
              <w:rPr>
                <w:color w:val="auto"/>
                <w:sz w:val="24"/>
              </w:rPr>
              <w:t>（E</w:t>
            </w:r>
            <w:r>
              <w:rPr>
                <w:color w:val="auto"/>
                <w:sz w:val="24"/>
                <w:u w:val="single"/>
              </w:rPr>
              <w:t>10</w:t>
            </w:r>
            <w:r>
              <w:rPr>
                <w:rFonts w:hint="eastAsia"/>
                <w:color w:val="auto"/>
                <w:sz w:val="24"/>
                <w:u w:val="single"/>
                <w:lang w:val="en-US" w:eastAsia="zh-CN"/>
              </w:rPr>
              <w:t>7</w:t>
            </w:r>
            <w:r>
              <w:rPr>
                <w:color w:val="auto"/>
                <w:sz w:val="24"/>
              </w:rPr>
              <w:t>度</w:t>
            </w:r>
            <w:r>
              <w:rPr>
                <w:rFonts w:hint="eastAsia"/>
                <w:color w:val="auto"/>
                <w:sz w:val="24"/>
                <w:u w:val="single"/>
                <w:lang w:val="en-US" w:eastAsia="zh-CN"/>
              </w:rPr>
              <w:t>44</w:t>
            </w:r>
            <w:r>
              <w:rPr>
                <w:color w:val="auto"/>
                <w:sz w:val="24"/>
              </w:rPr>
              <w:t>分</w:t>
            </w:r>
            <w:r>
              <w:rPr>
                <w:rFonts w:hint="eastAsia"/>
                <w:color w:val="auto"/>
                <w:sz w:val="24"/>
                <w:u w:val="single"/>
                <w:lang w:val="en-US" w:eastAsia="zh-CN"/>
              </w:rPr>
              <w:t>1.480</w:t>
            </w:r>
            <w:r>
              <w:rPr>
                <w:color w:val="auto"/>
                <w:sz w:val="24"/>
              </w:rPr>
              <w:t>秒，N</w:t>
            </w:r>
            <w:r>
              <w:rPr>
                <w:rFonts w:hint="eastAsia"/>
                <w:color w:val="auto"/>
                <w:sz w:val="24"/>
                <w:u w:val="single"/>
                <w:lang w:val="en-US" w:eastAsia="zh-CN"/>
              </w:rPr>
              <w:t>41</w:t>
            </w:r>
            <w:r>
              <w:rPr>
                <w:rFonts w:hint="eastAsia"/>
                <w:color w:val="auto"/>
                <w:sz w:val="24"/>
                <w:lang w:val="en-US" w:eastAsia="zh-CN"/>
              </w:rPr>
              <w:t>9</w:t>
            </w:r>
            <w:r>
              <w:rPr>
                <w:color w:val="auto"/>
                <w:sz w:val="24"/>
              </w:rPr>
              <w:t>分</w:t>
            </w:r>
            <w:r>
              <w:rPr>
                <w:rFonts w:hint="eastAsia"/>
                <w:color w:val="auto"/>
                <w:sz w:val="24"/>
                <w:u w:val="single"/>
                <w:lang w:val="en-US" w:eastAsia="zh-CN"/>
              </w:rPr>
              <w:t>14.969</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国民经济</w:t>
            </w:r>
          </w:p>
          <w:p>
            <w:pPr>
              <w:adjustRightInd w:val="0"/>
              <w:snapToGrid w:val="0"/>
              <w:spacing w:line="240" w:lineRule="auto"/>
              <w:jc w:val="center"/>
              <w:rPr>
                <w:color w:val="auto"/>
                <w:sz w:val="24"/>
              </w:rPr>
            </w:pPr>
            <w:r>
              <w:rPr>
                <w:color w:val="auto"/>
                <w:sz w:val="24"/>
              </w:rPr>
              <w:t>行业类别</w:t>
            </w:r>
          </w:p>
        </w:tc>
        <w:tc>
          <w:tcPr>
            <w:tcW w:w="2232" w:type="dxa"/>
            <w:noWrap w:val="0"/>
            <w:vAlign w:val="center"/>
          </w:tcPr>
          <w:p>
            <w:pPr>
              <w:adjustRightInd w:val="0"/>
              <w:snapToGrid w:val="0"/>
              <w:spacing w:line="240" w:lineRule="auto"/>
              <w:jc w:val="center"/>
              <w:rPr>
                <w:color w:val="FF0000"/>
                <w:sz w:val="24"/>
              </w:rPr>
            </w:pPr>
            <w:r>
              <w:rPr>
                <w:rFonts w:hint="eastAsia"/>
                <w:color w:val="FF0000"/>
                <w:sz w:val="24"/>
              </w:rPr>
              <w:t>C1499 其他未列明食品制造</w:t>
            </w:r>
          </w:p>
        </w:tc>
        <w:tc>
          <w:tcPr>
            <w:tcW w:w="1999" w:type="dxa"/>
            <w:noWrap w:val="0"/>
            <w:vAlign w:val="center"/>
          </w:tcPr>
          <w:p>
            <w:pPr>
              <w:adjustRightInd w:val="0"/>
              <w:snapToGrid w:val="0"/>
              <w:spacing w:line="240" w:lineRule="auto"/>
              <w:jc w:val="center"/>
              <w:rPr>
                <w:color w:val="FF0000"/>
                <w:sz w:val="24"/>
              </w:rPr>
            </w:pPr>
            <w:bookmarkStart w:id="1" w:name="_Hlk49843745"/>
            <w:r>
              <w:rPr>
                <w:color w:val="FF0000"/>
                <w:sz w:val="24"/>
              </w:rPr>
              <w:t>建设项目</w:t>
            </w:r>
          </w:p>
          <w:p>
            <w:pPr>
              <w:adjustRightInd w:val="0"/>
              <w:snapToGrid w:val="0"/>
              <w:spacing w:line="240" w:lineRule="auto"/>
              <w:jc w:val="center"/>
              <w:rPr>
                <w:color w:val="FF0000"/>
                <w:sz w:val="24"/>
              </w:rPr>
            </w:pPr>
            <w:r>
              <w:rPr>
                <w:color w:val="FF0000"/>
                <w:sz w:val="24"/>
              </w:rPr>
              <w:t>行业类别</w:t>
            </w:r>
            <w:bookmarkEnd w:id="1"/>
          </w:p>
        </w:tc>
        <w:tc>
          <w:tcPr>
            <w:tcW w:w="2699" w:type="dxa"/>
            <w:noWrap w:val="0"/>
            <w:vAlign w:val="center"/>
          </w:tcPr>
          <w:p>
            <w:pPr>
              <w:adjustRightInd w:val="0"/>
              <w:snapToGrid w:val="0"/>
              <w:spacing w:line="240" w:lineRule="auto"/>
              <w:jc w:val="center"/>
              <w:rPr>
                <w:color w:val="FF0000"/>
                <w:sz w:val="24"/>
              </w:rPr>
            </w:pPr>
            <w:r>
              <w:rPr>
                <w:rFonts w:hint="eastAsia"/>
                <w:color w:val="FF0000"/>
                <w:sz w:val="24"/>
              </w:rPr>
              <w:t>十一、食品制造业--24其他食品制造149--其他未列明食品制造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建设性质</w:t>
            </w:r>
          </w:p>
        </w:tc>
        <w:tc>
          <w:tcPr>
            <w:tcW w:w="2232" w:type="dxa"/>
            <w:noWrap w:val="0"/>
            <w:vAlign w:val="center"/>
          </w:tcPr>
          <w:p>
            <w:pPr>
              <w:spacing w:line="240" w:lineRule="auto"/>
              <w:jc w:val="left"/>
              <w:rPr>
                <w:color w:val="auto"/>
                <w:sz w:val="24"/>
              </w:rPr>
            </w:pPr>
            <w:r>
              <w:rPr>
                <w:color w:val="auto"/>
                <w:sz w:val="24"/>
              </w:rPr>
              <w:sym w:font="Wingdings 2" w:char="0052"/>
            </w:r>
            <w:r>
              <w:rPr>
                <w:color w:val="auto"/>
                <w:sz w:val="24"/>
              </w:rPr>
              <w:t>新建（迁建）</w:t>
            </w:r>
          </w:p>
          <w:p>
            <w:pPr>
              <w:spacing w:line="240" w:lineRule="auto"/>
              <w:jc w:val="left"/>
              <w:rPr>
                <w:color w:val="auto"/>
                <w:sz w:val="24"/>
              </w:rPr>
            </w:pPr>
            <w:r>
              <w:rPr>
                <w:color w:val="auto"/>
                <w:sz w:val="24"/>
              </w:rPr>
              <w:sym w:font="Wingdings 2" w:char="00A3"/>
            </w:r>
            <w:r>
              <w:rPr>
                <w:color w:val="auto"/>
                <w:sz w:val="24"/>
              </w:rPr>
              <w:t>改建</w:t>
            </w:r>
          </w:p>
          <w:p>
            <w:pPr>
              <w:spacing w:line="240" w:lineRule="auto"/>
              <w:jc w:val="left"/>
              <w:rPr>
                <w:color w:val="auto"/>
                <w:sz w:val="24"/>
              </w:rPr>
            </w:pPr>
            <w:r>
              <w:rPr>
                <w:color w:val="auto"/>
                <w:sz w:val="24"/>
              </w:rPr>
              <w:sym w:font="Wingdings 2" w:char="00A3"/>
            </w:r>
            <w:r>
              <w:rPr>
                <w:color w:val="auto"/>
                <w:sz w:val="24"/>
              </w:rPr>
              <w:t>扩建</w:t>
            </w:r>
          </w:p>
          <w:p>
            <w:pPr>
              <w:spacing w:line="240" w:lineRule="auto"/>
              <w:jc w:val="left"/>
              <w:rPr>
                <w:color w:val="auto"/>
                <w:sz w:val="24"/>
              </w:rPr>
            </w:pPr>
            <w:r>
              <w:rPr>
                <w:color w:val="auto"/>
                <w:sz w:val="24"/>
              </w:rPr>
              <w:sym w:font="Wingdings 2" w:char="00A3"/>
            </w:r>
            <w:r>
              <w:rPr>
                <w:color w:val="auto"/>
                <w:sz w:val="24"/>
              </w:rPr>
              <w:t>技术改造</w:t>
            </w:r>
          </w:p>
        </w:tc>
        <w:tc>
          <w:tcPr>
            <w:tcW w:w="1999" w:type="dxa"/>
            <w:noWrap w:val="0"/>
            <w:vAlign w:val="center"/>
          </w:tcPr>
          <w:p>
            <w:pPr>
              <w:adjustRightInd w:val="0"/>
              <w:snapToGrid w:val="0"/>
              <w:spacing w:line="240" w:lineRule="auto"/>
              <w:jc w:val="center"/>
              <w:rPr>
                <w:color w:val="auto"/>
                <w:sz w:val="24"/>
              </w:rPr>
            </w:pPr>
            <w:r>
              <w:rPr>
                <w:color w:val="auto"/>
                <w:sz w:val="24"/>
              </w:rPr>
              <w:t>建设项目</w:t>
            </w:r>
          </w:p>
          <w:p>
            <w:pPr>
              <w:adjustRightInd w:val="0"/>
              <w:snapToGrid w:val="0"/>
              <w:spacing w:line="240" w:lineRule="auto"/>
              <w:jc w:val="center"/>
              <w:rPr>
                <w:color w:val="auto"/>
                <w:sz w:val="24"/>
              </w:rPr>
            </w:pPr>
            <w:r>
              <w:rPr>
                <w:color w:val="auto"/>
                <w:sz w:val="24"/>
              </w:rPr>
              <w:t>申报情形</w:t>
            </w:r>
          </w:p>
        </w:tc>
        <w:tc>
          <w:tcPr>
            <w:tcW w:w="2699" w:type="dxa"/>
            <w:noWrap w:val="0"/>
            <w:vAlign w:val="center"/>
          </w:tcPr>
          <w:p>
            <w:pPr>
              <w:spacing w:line="240" w:lineRule="auto"/>
              <w:jc w:val="left"/>
              <w:rPr>
                <w:color w:val="auto"/>
                <w:sz w:val="24"/>
              </w:rPr>
            </w:pPr>
            <w:r>
              <w:rPr>
                <w:color w:val="auto"/>
                <w:sz w:val="24"/>
              </w:rPr>
              <w:sym w:font="Wingdings 2" w:char="0052"/>
            </w:r>
            <w:r>
              <w:rPr>
                <w:color w:val="auto"/>
                <w:sz w:val="24"/>
              </w:rPr>
              <w:t>首次申报项目</w:t>
            </w:r>
          </w:p>
          <w:p>
            <w:pPr>
              <w:spacing w:line="240" w:lineRule="auto"/>
              <w:jc w:val="left"/>
              <w:rPr>
                <w:color w:val="auto"/>
                <w:sz w:val="24"/>
              </w:rPr>
            </w:pPr>
            <w:r>
              <w:rPr>
                <w:color w:val="auto"/>
                <w:sz w:val="24"/>
              </w:rPr>
              <w:sym w:font="Wingdings 2" w:char="00A3"/>
            </w:r>
            <w:r>
              <w:rPr>
                <w:color w:val="auto"/>
                <w:sz w:val="24"/>
              </w:rPr>
              <w:t>不予批准后再次申报项目</w:t>
            </w:r>
          </w:p>
          <w:p>
            <w:pPr>
              <w:spacing w:line="240" w:lineRule="auto"/>
              <w:jc w:val="left"/>
              <w:rPr>
                <w:color w:val="auto"/>
                <w:sz w:val="24"/>
              </w:rPr>
            </w:pPr>
            <w:r>
              <w:rPr>
                <w:color w:val="auto"/>
                <w:sz w:val="24"/>
              </w:rPr>
              <w:sym w:font="Wingdings 2" w:char="00A3"/>
            </w:r>
            <w:r>
              <w:rPr>
                <w:color w:val="auto"/>
                <w:sz w:val="24"/>
              </w:rPr>
              <w:t>超五年重新审核项目</w:t>
            </w:r>
          </w:p>
          <w:p>
            <w:pPr>
              <w:spacing w:line="240" w:lineRule="auto"/>
              <w:jc w:val="left"/>
              <w:rPr>
                <w:color w:val="auto"/>
                <w:sz w:val="24"/>
              </w:rPr>
            </w:pPr>
            <w:r>
              <w:rPr>
                <w:color w:val="auto"/>
                <w:sz w:val="24"/>
              </w:rPr>
              <w:sym w:font="Wingdings 2" w:char="00A3"/>
            </w: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项目审批（核准/</w:t>
            </w:r>
          </w:p>
          <w:p>
            <w:pPr>
              <w:adjustRightInd w:val="0"/>
              <w:snapToGrid w:val="0"/>
              <w:spacing w:line="240" w:lineRule="auto"/>
              <w:jc w:val="center"/>
              <w:rPr>
                <w:color w:val="auto"/>
                <w:sz w:val="24"/>
              </w:rPr>
            </w:pPr>
            <w:r>
              <w:rPr>
                <w:color w:val="auto"/>
                <w:sz w:val="24"/>
              </w:rPr>
              <w:t>备案）部门（选填）</w:t>
            </w:r>
          </w:p>
        </w:tc>
        <w:tc>
          <w:tcPr>
            <w:tcW w:w="2232"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五原县发展与改革委员会</w:t>
            </w:r>
          </w:p>
        </w:tc>
        <w:tc>
          <w:tcPr>
            <w:tcW w:w="1999" w:type="dxa"/>
            <w:noWrap w:val="0"/>
            <w:vAlign w:val="center"/>
          </w:tcPr>
          <w:p>
            <w:pPr>
              <w:adjustRightInd w:val="0"/>
              <w:snapToGrid w:val="0"/>
              <w:spacing w:line="240" w:lineRule="auto"/>
              <w:jc w:val="center"/>
              <w:rPr>
                <w:color w:val="auto"/>
                <w:sz w:val="24"/>
              </w:rPr>
            </w:pPr>
            <w:r>
              <w:rPr>
                <w:color w:val="auto"/>
                <w:sz w:val="24"/>
              </w:rPr>
              <w:t>项目审批（核准/</w:t>
            </w:r>
          </w:p>
          <w:p>
            <w:pPr>
              <w:adjustRightInd w:val="0"/>
              <w:snapToGrid w:val="0"/>
              <w:spacing w:line="240" w:lineRule="auto"/>
              <w:jc w:val="center"/>
              <w:rPr>
                <w:color w:val="auto"/>
                <w:sz w:val="24"/>
              </w:rPr>
            </w:pPr>
            <w:r>
              <w:rPr>
                <w:color w:val="auto"/>
                <w:sz w:val="24"/>
              </w:rPr>
              <w:t>备案）文号（选填）</w:t>
            </w:r>
          </w:p>
        </w:tc>
        <w:tc>
          <w:tcPr>
            <w:tcW w:w="2699"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五发改字[2021]152号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总投资（万元）</w:t>
            </w:r>
          </w:p>
        </w:tc>
        <w:tc>
          <w:tcPr>
            <w:tcW w:w="2232"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380</w:t>
            </w:r>
          </w:p>
        </w:tc>
        <w:tc>
          <w:tcPr>
            <w:tcW w:w="1999"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环保投资（万元）</w:t>
            </w:r>
          </w:p>
        </w:tc>
        <w:tc>
          <w:tcPr>
            <w:tcW w:w="2699"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环保投资占比（%）</w:t>
            </w:r>
          </w:p>
        </w:tc>
        <w:tc>
          <w:tcPr>
            <w:tcW w:w="2232" w:type="dxa"/>
            <w:noWrap w:val="0"/>
            <w:vAlign w:val="center"/>
          </w:tcPr>
          <w:p>
            <w:pPr>
              <w:adjustRightInd w:val="0"/>
              <w:snapToGrid w:val="0"/>
              <w:spacing w:line="240" w:lineRule="auto"/>
              <w:jc w:val="center"/>
              <w:rPr>
                <w:color w:val="auto"/>
                <w:sz w:val="24"/>
              </w:rPr>
            </w:pPr>
            <w:r>
              <w:rPr>
                <w:rFonts w:hint="eastAsia"/>
                <w:color w:val="auto"/>
                <w:sz w:val="24"/>
                <w:lang w:val="en-US" w:eastAsia="zh-CN"/>
              </w:rPr>
              <w:t>5</w:t>
            </w:r>
            <w:r>
              <w:rPr>
                <w:color w:val="auto"/>
                <w:sz w:val="24"/>
              </w:rPr>
              <w:t>%</w:t>
            </w:r>
          </w:p>
        </w:tc>
        <w:tc>
          <w:tcPr>
            <w:tcW w:w="1999"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施工工期</w:t>
            </w:r>
          </w:p>
        </w:tc>
        <w:tc>
          <w:tcPr>
            <w:tcW w:w="2699"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5个月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1" w:type="dxa"/>
            <w:noWrap w:val="0"/>
            <w:tcMar>
              <w:top w:w="16" w:type="dxa"/>
              <w:left w:w="16" w:type="dxa"/>
              <w:right w:w="16" w:type="dxa"/>
            </w:tcMar>
            <w:vAlign w:val="center"/>
          </w:tcPr>
          <w:p>
            <w:pPr>
              <w:adjustRightInd w:val="0"/>
              <w:snapToGrid w:val="0"/>
              <w:spacing w:line="240" w:lineRule="auto"/>
              <w:jc w:val="center"/>
              <w:rPr>
                <w:color w:val="auto"/>
                <w:sz w:val="24"/>
              </w:rPr>
            </w:pPr>
            <w:r>
              <w:rPr>
                <w:color w:val="auto"/>
                <w:sz w:val="24"/>
              </w:rPr>
              <w:t>是否开工建设</w:t>
            </w:r>
          </w:p>
        </w:tc>
        <w:tc>
          <w:tcPr>
            <w:tcW w:w="2232" w:type="dxa"/>
            <w:noWrap w:val="0"/>
            <w:vAlign w:val="center"/>
          </w:tcPr>
          <w:p>
            <w:pPr>
              <w:adjustRightInd w:val="0"/>
              <w:snapToGrid w:val="0"/>
              <w:spacing w:line="240" w:lineRule="auto"/>
              <w:jc w:val="left"/>
              <w:rPr>
                <w:color w:val="auto"/>
                <w:sz w:val="24"/>
              </w:rPr>
            </w:pPr>
            <w:r>
              <w:rPr>
                <w:color w:val="auto"/>
                <w:sz w:val="24"/>
              </w:rPr>
              <w:sym w:font="Wingdings 2" w:char="0052"/>
            </w:r>
            <w:r>
              <w:rPr>
                <w:color w:val="auto"/>
                <w:sz w:val="24"/>
              </w:rPr>
              <w:t>否</w:t>
            </w:r>
          </w:p>
          <w:p>
            <w:pPr>
              <w:adjustRightInd w:val="0"/>
              <w:snapToGrid w:val="0"/>
              <w:spacing w:line="240" w:lineRule="auto"/>
              <w:jc w:val="left"/>
              <w:rPr>
                <w:color w:val="auto"/>
                <w:sz w:val="24"/>
              </w:rPr>
            </w:pPr>
            <w:r>
              <w:rPr>
                <w:color w:val="auto"/>
                <w:sz w:val="24"/>
              </w:rPr>
              <w:sym w:font="Wingdings 2" w:char="00A3"/>
            </w:r>
            <w:r>
              <w:rPr>
                <w:color w:val="auto"/>
                <w:sz w:val="24"/>
              </w:rPr>
              <w:t>是：</w:t>
            </w:r>
            <w:r>
              <w:rPr>
                <w:rFonts w:hint="eastAsia"/>
                <w:color w:val="auto"/>
                <w:sz w:val="24"/>
                <w:u w:val="single"/>
                <w:lang w:val="en-US" w:eastAsia="zh-CN"/>
              </w:rPr>
              <w:t xml:space="preserve">        </w:t>
            </w:r>
          </w:p>
        </w:tc>
        <w:tc>
          <w:tcPr>
            <w:tcW w:w="1999" w:type="dxa"/>
            <w:noWrap w:val="0"/>
            <w:tcMar>
              <w:top w:w="16" w:type="dxa"/>
              <w:left w:w="16" w:type="dxa"/>
              <w:right w:w="16" w:type="dxa"/>
            </w:tcMar>
            <w:vAlign w:val="center"/>
          </w:tcPr>
          <w:p>
            <w:pPr>
              <w:adjustRightInd w:val="0"/>
              <w:snapToGrid w:val="0"/>
              <w:spacing w:line="240" w:lineRule="auto"/>
              <w:jc w:val="center"/>
              <w:rPr>
                <w:color w:val="auto"/>
                <w:spacing w:val="-6"/>
                <w:sz w:val="24"/>
              </w:rPr>
            </w:pPr>
            <w:r>
              <w:rPr>
                <w:color w:val="auto"/>
                <w:spacing w:val="-6"/>
                <w:sz w:val="24"/>
              </w:rPr>
              <w:t>用地（用海）</w:t>
            </w:r>
          </w:p>
          <w:p>
            <w:pPr>
              <w:adjustRightInd w:val="0"/>
              <w:snapToGrid w:val="0"/>
              <w:spacing w:line="240" w:lineRule="auto"/>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2699"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5333.34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2141" w:type="dxa"/>
            <w:noWrap w:val="0"/>
            <w:vAlign w:val="center"/>
          </w:tcPr>
          <w:p>
            <w:pPr>
              <w:autoSpaceDE w:val="0"/>
              <w:autoSpaceDN w:val="0"/>
              <w:adjustRightInd w:val="0"/>
              <w:snapToGrid w:val="0"/>
              <w:spacing w:line="240" w:lineRule="auto"/>
              <w:jc w:val="center"/>
              <w:rPr>
                <w:color w:val="auto"/>
                <w:kern w:val="0"/>
                <w:sz w:val="24"/>
              </w:rPr>
            </w:pPr>
            <w:r>
              <w:rPr>
                <w:color w:val="auto"/>
                <w:kern w:val="0"/>
                <w:sz w:val="24"/>
              </w:rPr>
              <w:t>专项评价设置情况</w:t>
            </w:r>
          </w:p>
        </w:tc>
        <w:tc>
          <w:tcPr>
            <w:tcW w:w="6930" w:type="dxa"/>
            <w:gridSpan w:val="3"/>
            <w:noWrap w:val="0"/>
            <w:vAlign w:val="center"/>
          </w:tcPr>
          <w:p>
            <w:pPr>
              <w:autoSpaceDE w:val="0"/>
              <w:autoSpaceDN w:val="0"/>
              <w:adjustRightInd w:val="0"/>
              <w:snapToGrid w:val="0"/>
              <w:spacing w:line="240" w:lineRule="auto"/>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2141" w:type="dxa"/>
            <w:noWrap w:val="0"/>
            <w:vAlign w:val="center"/>
          </w:tcPr>
          <w:p>
            <w:pPr>
              <w:autoSpaceDE w:val="0"/>
              <w:autoSpaceDN w:val="0"/>
              <w:adjustRightInd w:val="0"/>
              <w:snapToGrid w:val="0"/>
              <w:spacing w:line="240" w:lineRule="auto"/>
              <w:jc w:val="center"/>
              <w:rPr>
                <w:color w:val="auto"/>
                <w:kern w:val="0"/>
                <w:sz w:val="24"/>
              </w:rPr>
            </w:pPr>
            <w:r>
              <w:rPr>
                <w:color w:val="auto"/>
                <w:sz w:val="24"/>
              </w:rPr>
              <w:t>规划情况</w:t>
            </w:r>
          </w:p>
        </w:tc>
        <w:tc>
          <w:tcPr>
            <w:tcW w:w="6930" w:type="dxa"/>
            <w:gridSpan w:val="3"/>
            <w:noWrap w:val="0"/>
            <w:vAlign w:val="center"/>
          </w:tcPr>
          <w:p>
            <w:pPr>
              <w:overflowPunct w:val="0"/>
              <w:autoSpaceDE w:val="0"/>
              <w:autoSpaceDN w:val="0"/>
              <w:adjustRightInd w:val="0"/>
              <w:spacing w:line="240" w:lineRule="auto"/>
              <w:jc w:val="center"/>
              <w:textAlignment w:val="baseline"/>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2141" w:type="dxa"/>
            <w:noWrap w:val="0"/>
            <w:vAlign w:val="center"/>
          </w:tcPr>
          <w:p>
            <w:pPr>
              <w:adjustRightInd w:val="0"/>
              <w:snapToGrid w:val="0"/>
              <w:spacing w:line="240" w:lineRule="auto"/>
              <w:jc w:val="center"/>
              <w:rPr>
                <w:color w:val="auto"/>
                <w:sz w:val="24"/>
              </w:rPr>
            </w:pPr>
            <w:r>
              <w:rPr>
                <w:color w:val="auto"/>
                <w:sz w:val="24"/>
              </w:rPr>
              <w:t>规划环境影响</w:t>
            </w:r>
          </w:p>
          <w:p>
            <w:pPr>
              <w:adjustRightInd w:val="0"/>
              <w:snapToGrid w:val="0"/>
              <w:spacing w:line="240" w:lineRule="auto"/>
              <w:jc w:val="center"/>
              <w:rPr>
                <w:color w:val="auto"/>
                <w:kern w:val="0"/>
                <w:sz w:val="24"/>
              </w:rPr>
            </w:pPr>
            <w:r>
              <w:rPr>
                <w:color w:val="auto"/>
                <w:sz w:val="24"/>
              </w:rPr>
              <w:t>评价情况</w:t>
            </w:r>
          </w:p>
        </w:tc>
        <w:tc>
          <w:tcPr>
            <w:tcW w:w="6930" w:type="dxa"/>
            <w:gridSpan w:val="3"/>
            <w:noWrap w:val="0"/>
            <w:vAlign w:val="center"/>
          </w:tcPr>
          <w:p>
            <w:pPr>
              <w:autoSpaceDE w:val="0"/>
              <w:autoSpaceDN w:val="0"/>
              <w:adjustRightInd w:val="0"/>
              <w:snapToGrid w:val="0"/>
              <w:spacing w:line="240" w:lineRule="auto"/>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2" w:hRule="atLeast"/>
          <w:jc w:val="center"/>
        </w:trPr>
        <w:tc>
          <w:tcPr>
            <w:tcW w:w="2141" w:type="dxa"/>
            <w:noWrap w:val="0"/>
            <w:vAlign w:val="center"/>
          </w:tcPr>
          <w:p>
            <w:pPr>
              <w:autoSpaceDE w:val="0"/>
              <w:autoSpaceDN w:val="0"/>
              <w:adjustRightInd w:val="0"/>
              <w:snapToGrid w:val="0"/>
              <w:spacing w:line="240" w:lineRule="auto"/>
              <w:jc w:val="center"/>
              <w:rPr>
                <w:color w:val="auto"/>
                <w:kern w:val="0"/>
                <w:sz w:val="24"/>
              </w:rPr>
            </w:pPr>
            <w:r>
              <w:rPr>
                <w:color w:val="auto"/>
                <w:kern w:val="0"/>
                <w:sz w:val="24"/>
              </w:rPr>
              <w:t>规划及规划环境影响评价符合性分析</w:t>
            </w:r>
          </w:p>
        </w:tc>
        <w:tc>
          <w:tcPr>
            <w:tcW w:w="6930" w:type="dxa"/>
            <w:gridSpan w:val="3"/>
            <w:noWrap w:val="0"/>
            <w:vAlign w:val="center"/>
          </w:tcPr>
          <w:p>
            <w:pPr>
              <w:pStyle w:val="18"/>
              <w:spacing w:before="0" w:beforeLines="0" w:after="0" w:afterLines="0" w:line="240" w:lineRule="auto"/>
              <w:rPr>
                <w:color w:val="auto"/>
                <w:kern w:val="0"/>
                <w:sz w:val="24"/>
              </w:rPr>
            </w:pPr>
            <w:r>
              <w:rPr>
                <w:b w:val="0"/>
                <w:bCs/>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1" w:type="dxa"/>
            <w:noWrap w:val="0"/>
            <w:vAlign w:val="center"/>
          </w:tcPr>
          <w:p>
            <w:pPr>
              <w:autoSpaceDE w:val="0"/>
              <w:autoSpaceDN w:val="0"/>
              <w:adjustRightInd w:val="0"/>
              <w:snapToGrid w:val="0"/>
              <w:spacing w:line="240" w:lineRule="auto"/>
              <w:jc w:val="center"/>
              <w:rPr>
                <w:color w:val="auto"/>
                <w:kern w:val="0"/>
                <w:szCs w:val="21"/>
              </w:rPr>
            </w:pPr>
            <w:r>
              <w:rPr>
                <w:color w:val="auto"/>
                <w:kern w:val="0"/>
                <w:sz w:val="24"/>
              </w:rPr>
              <w:t>其他符合性分析</w:t>
            </w:r>
          </w:p>
        </w:tc>
        <w:tc>
          <w:tcPr>
            <w:tcW w:w="6930" w:type="dxa"/>
            <w:gridSpan w:val="3"/>
            <w:noWrap w:val="0"/>
            <w:vAlign w:val="center"/>
          </w:tcPr>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0" w:firstLineChars="0"/>
              <w:textAlignment w:val="auto"/>
              <w:rPr>
                <w:rFonts w:hint="eastAsia" w:eastAsia="宋体" w:cs="Times New Roman"/>
                <w:b/>
                <w:bCs/>
                <w:lang w:val="en-US" w:eastAsia="zh-CN"/>
              </w:rPr>
            </w:pPr>
            <w:r>
              <w:rPr>
                <w:rFonts w:hint="eastAsia" w:eastAsia="宋体" w:cs="Times New Roman"/>
                <w:b/>
                <w:bCs/>
              </w:rPr>
              <w:t>1</w:t>
            </w:r>
            <w:r>
              <w:rPr>
                <w:rFonts w:hint="eastAsia" w:eastAsia="宋体" w:cs="Times New Roman"/>
                <w:b/>
                <w:bCs/>
                <w:lang w:eastAsia="zh-CN"/>
              </w:rPr>
              <w:t>、</w:t>
            </w:r>
            <w:r>
              <w:rPr>
                <w:rFonts w:hint="eastAsia" w:eastAsia="宋体" w:cs="Times New Roman"/>
                <w:b/>
                <w:bCs/>
              </w:rPr>
              <w:t>产业政策符合性</w:t>
            </w:r>
            <w:r>
              <w:rPr>
                <w:rFonts w:hint="eastAsia" w:eastAsia="宋体" w:cs="Times New Roman"/>
                <w:b/>
                <w:bCs/>
                <w:lang w:val="en-US" w:eastAsia="zh-CN"/>
              </w:rPr>
              <w:t>分析</w:t>
            </w:r>
          </w:p>
          <w:p>
            <w:pPr>
              <w:pStyle w:val="6"/>
              <w:ind w:firstLine="480"/>
              <w:rPr>
                <w:rFonts w:hint="eastAsia" w:eastAsia="宋体" w:cs="Times New Roman"/>
              </w:rPr>
            </w:pPr>
            <w:r>
              <w:rPr>
                <w:rFonts w:hint="eastAsia" w:eastAsia="宋体" w:cs="Times New Roman"/>
              </w:rPr>
              <w:t>本项目为农产品加工项目，根据《产业结构调整指导目录（2019年本）》，本项目不属于鼓励类、限制类和淘汰类项目，属于国家产业政策允许类项目</w:t>
            </w:r>
            <w:r>
              <w:rPr>
                <w:rFonts w:hint="eastAsia" w:cs="Times New Roman"/>
                <w:lang w:eastAsia="zh-CN"/>
              </w:rPr>
              <w:t>，</w:t>
            </w:r>
            <w:r>
              <w:rPr>
                <w:rFonts w:hint="eastAsia" w:eastAsia="宋体" w:cs="Times New Roman"/>
              </w:rPr>
              <w:t>符合国家产业政策。</w:t>
            </w:r>
          </w:p>
          <w:p>
            <w:pPr>
              <w:pStyle w:val="6"/>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eastAsia="宋体" w:cs="Times New Roman"/>
                <w:b/>
                <w:bCs/>
                <w:highlight w:val="none"/>
              </w:rPr>
            </w:pPr>
            <w:r>
              <w:rPr>
                <w:rFonts w:hint="eastAsia" w:eastAsia="宋体" w:cs="Times New Roman"/>
                <w:b/>
                <w:bCs/>
                <w:highlight w:val="none"/>
                <w:lang w:val="en-US" w:eastAsia="zh-CN"/>
              </w:rPr>
              <w:t>2</w:t>
            </w:r>
            <w:r>
              <w:rPr>
                <w:rFonts w:hint="eastAsia" w:eastAsia="宋体" w:cs="Times New Roman"/>
                <w:b/>
                <w:bCs/>
                <w:highlight w:val="none"/>
              </w:rPr>
              <w:t>、“三线一单”的符合性分析</w:t>
            </w:r>
          </w:p>
          <w:p>
            <w:pPr>
              <w:pStyle w:val="6"/>
              <w:ind w:firstLine="480"/>
              <w:rPr>
                <w:rFonts w:hint="eastAsia" w:cs="Times New Roman"/>
                <w:lang w:eastAsia="zh-CN"/>
              </w:rPr>
            </w:pPr>
            <w:r>
              <w:rPr>
                <w:rFonts w:hint="eastAsia" w:cs="Times New Roman"/>
                <w:lang w:eastAsia="zh-CN"/>
              </w:rPr>
              <w:t>（</w:t>
            </w:r>
            <w:r>
              <w:rPr>
                <w:rFonts w:hint="eastAsia" w:cs="Times New Roman"/>
                <w:lang w:val="en-US" w:eastAsia="zh-CN"/>
              </w:rPr>
              <w:t>1</w:t>
            </w:r>
            <w:r>
              <w:rPr>
                <w:rFonts w:hint="eastAsia" w:cs="Times New Roman"/>
                <w:lang w:eastAsia="zh-CN"/>
              </w:rPr>
              <w:t>）生态</w:t>
            </w:r>
            <w:r>
              <w:rPr>
                <w:rFonts w:hint="eastAsia" w:cs="Times New Roman"/>
                <w:lang w:val="en-US" w:eastAsia="zh-CN"/>
              </w:rPr>
              <w:t>保护</w:t>
            </w:r>
            <w:r>
              <w:rPr>
                <w:rFonts w:hint="eastAsia" w:cs="Times New Roman"/>
                <w:lang w:eastAsia="zh-CN"/>
              </w:rPr>
              <w:t>红线</w:t>
            </w:r>
          </w:p>
          <w:p>
            <w:pPr>
              <w:pStyle w:val="6"/>
              <w:ind w:firstLine="480"/>
              <w:rPr>
                <w:rFonts w:hint="eastAsia" w:cs="Times New Roman"/>
                <w:lang w:eastAsia="zh-CN"/>
              </w:rPr>
            </w:pPr>
            <w:r>
              <w:rPr>
                <w:rFonts w:hint="eastAsia" w:cs="Times New Roman"/>
                <w:lang w:eastAsia="zh-CN"/>
              </w:rPr>
              <w:t>根据巴彦淖尔市人民政府2021年12月27日发布的关于印发《巴彦淖尔市“三线一单”生态环境分区管控方案》的通知（巴政发[2021]9号）</w:t>
            </w:r>
            <w:r>
              <w:rPr>
                <w:rFonts w:hint="eastAsia" w:cs="Times New Roman"/>
                <w:lang w:val="en-US" w:eastAsia="zh-CN"/>
              </w:rPr>
              <w:t>中《巴彦淖尔市“三线一单”文本》</w:t>
            </w:r>
            <w:r>
              <w:rPr>
                <w:rFonts w:hint="eastAsia" w:cs="Times New Roman"/>
                <w:lang w:eastAsia="zh-CN"/>
              </w:rPr>
              <w:t>，巴彦淖尔市生态空间呈现“一核、四带、四区、多点”的生态安全格局。“一核”指乌梁素海；“四带”指黄河生态防护带、阴山南麓山前带、边境一带和乌兰布和沙漠东缘生态防护带；“四区”指北部乌拉特草原生态保育区、中部阴山山地生态功能区、南部河套平原城镇和农牧业协调发展区、西部乌兰布和沙漠化控制区；“多点”指生态林区、自然保护区、森林公园、海子等重要自然生态要素。</w:t>
            </w:r>
          </w:p>
          <w:p>
            <w:pPr>
              <w:pStyle w:val="6"/>
              <w:ind w:firstLine="480"/>
              <w:rPr>
                <w:rFonts w:hint="eastAsia" w:cs="Times New Roman"/>
                <w:lang w:eastAsia="zh-CN"/>
              </w:rPr>
            </w:pPr>
            <w:r>
              <w:rPr>
                <w:rFonts w:hint="eastAsia" w:cs="Times New Roman"/>
                <w:lang w:eastAsia="zh-CN"/>
              </w:rPr>
              <w:t>经调查本项目评价范围内无饮用水水源地、自然保护区、风景名胜区等特殊环境敏感区，不涉及重要生态功能区、生态敏感脆弱区、禁止开发区域以及其他各类保护地，不在上述“一核、四带、四区、多点”的生态安全格局范围内。</w:t>
            </w:r>
            <w:r>
              <w:rPr>
                <w:rFonts w:hint="eastAsia" w:cs="Times New Roman"/>
                <w:color w:val="FF0000"/>
                <w:highlight w:val="none"/>
                <w:lang w:eastAsia="zh-CN"/>
              </w:rPr>
              <w:t>根据生态评估、法定自然保护地和其他保护地识别，并与各类规划对接，与城镇开发边界、永久基本农田等对接，进行边界处理，确定巴彦淖尔市生态空间（生态保护红线+一般生态空间），对照“巴彦淖尔市生态空间图”，本项目所在</w:t>
            </w:r>
            <w:r>
              <w:rPr>
                <w:rFonts w:hint="eastAsia" w:cs="Times New Roman"/>
                <w:color w:val="FF0000"/>
                <w:highlight w:val="none"/>
                <w:lang w:val="en-US" w:eastAsia="zh-CN"/>
              </w:rPr>
              <w:t>地生态空间为一般生态空间，</w:t>
            </w:r>
            <w:r>
              <w:rPr>
                <w:rFonts w:hint="eastAsia" w:cs="Times New Roman"/>
                <w:lang w:eastAsia="zh-CN"/>
              </w:rPr>
              <w:t>不在生态保护红线范围内。</w:t>
            </w:r>
          </w:p>
          <w:p>
            <w:pPr>
              <w:pStyle w:val="6"/>
              <w:ind w:firstLine="480"/>
              <w:rPr>
                <w:rFonts w:hint="eastAsia" w:cs="Times New Roman"/>
                <w:lang w:val="en-US" w:eastAsia="zh-CN"/>
              </w:rPr>
            </w:pPr>
            <w:r>
              <w:rPr>
                <w:rFonts w:hint="eastAsia" w:cs="Times New Roman"/>
                <w:lang w:val="en-US" w:eastAsia="zh-CN"/>
              </w:rPr>
              <w:t>（2）环境质量底线</w:t>
            </w:r>
          </w:p>
          <w:p>
            <w:pPr>
              <w:pStyle w:val="6"/>
              <w:ind w:firstLine="480"/>
              <w:rPr>
                <w:rFonts w:hint="eastAsia" w:ascii="Times New Roman" w:hAnsi="Times New Roman" w:cs="Times New Roman"/>
                <w:lang w:val="en-US" w:eastAsia="zh-CN"/>
              </w:rPr>
            </w:pPr>
            <w:r>
              <w:rPr>
                <w:rFonts w:hint="default" w:ascii="Times New Roman" w:hAnsi="Times New Roman" w:cs="Times New Roman"/>
                <w:lang w:val="en-US" w:eastAsia="zh-CN"/>
              </w:rPr>
              <w:t>①</w:t>
            </w:r>
            <w:r>
              <w:rPr>
                <w:rFonts w:hint="eastAsia" w:ascii="Times New Roman" w:hAnsi="Times New Roman" w:cs="Times New Roman"/>
                <w:lang w:val="en-US" w:eastAsia="zh-CN"/>
              </w:rPr>
              <w:t>大气环境质量底线</w:t>
            </w:r>
          </w:p>
          <w:p>
            <w:pPr>
              <w:pStyle w:val="6"/>
              <w:ind w:firstLine="480"/>
              <w:rPr>
                <w:rFonts w:hint="eastAsia"/>
                <w:color w:val="FF0000"/>
                <w:highlight w:val="none"/>
                <w:lang w:val="en-US" w:eastAsia="zh-CN"/>
              </w:rPr>
            </w:pPr>
            <w:r>
              <w:rPr>
                <w:rFonts w:hint="eastAsia" w:cs="Times New Roman"/>
                <w:lang w:eastAsia="zh-CN"/>
              </w:rPr>
              <w:t>根据巴彦淖尔市人民政府2021年12月27日发布的关于印发《巴彦淖尔市“三线一单”生态环境分区管控方案》的通知（巴政发[2021]9号）</w:t>
            </w:r>
            <w:r>
              <w:rPr>
                <w:rFonts w:hint="eastAsia" w:cs="Times New Roman"/>
                <w:lang w:val="en-US" w:eastAsia="zh-CN"/>
              </w:rPr>
              <w:t>中《巴彦淖尔市“三线一单”文</w:t>
            </w:r>
            <w:r>
              <w:rPr>
                <w:rFonts w:hint="eastAsia" w:ascii="Times New Roman" w:hAnsi="Times New Roman" w:cs="Times New Roman"/>
                <w:lang w:val="en-US" w:eastAsia="zh-CN"/>
              </w:rPr>
              <w:t>本》，巴彦淖尔市将大气环境分为优先保护区和大气环境重点管控区（重点管控区包括：高排放区、弱扩散区、受体敏感区及布局敏感区四类），对照“巴彦淖尔市大气环境管控分区图”，</w:t>
            </w:r>
            <w:r>
              <w:rPr>
                <w:rFonts w:hint="eastAsia" w:ascii="Times New Roman" w:hAnsi="Times New Roman" w:cs="Times New Roman"/>
                <w:color w:val="FF0000"/>
                <w:highlight w:val="none"/>
                <w:lang w:val="en-US" w:eastAsia="zh-CN"/>
              </w:rPr>
              <w:t>项目所在地属于大气环境一般管控区。</w:t>
            </w:r>
          </w:p>
          <w:p>
            <w:pPr>
              <w:pStyle w:val="6"/>
              <w:ind w:firstLine="480"/>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项目</w:t>
            </w:r>
            <w:r>
              <w:rPr>
                <w:rFonts w:hint="eastAsia" w:ascii="Times New Roman" w:hAnsi="Times New Roman" w:cs="Times New Roman"/>
                <w:color w:val="auto"/>
                <w:highlight w:val="none"/>
                <w:lang w:val="en-US" w:eastAsia="zh-CN"/>
              </w:rPr>
              <w:t>生物质燃料</w:t>
            </w:r>
            <w:r>
              <w:rPr>
                <w:rFonts w:hint="default" w:ascii="Times New Roman" w:hAnsi="Times New Roman" w:cs="Times New Roman"/>
                <w:color w:val="auto"/>
                <w:highlight w:val="none"/>
                <w:lang w:val="en-US" w:eastAsia="zh-CN"/>
              </w:rPr>
              <w:t>的</w:t>
            </w:r>
            <w:r>
              <w:rPr>
                <w:rFonts w:hint="eastAsia" w:ascii="Times New Roman" w:hAnsi="Times New Roman" w:cs="Times New Roman"/>
                <w:color w:val="auto"/>
                <w:highlight w:val="none"/>
                <w:lang w:val="en-US" w:eastAsia="zh-CN"/>
              </w:rPr>
              <w:t>燃烧</w:t>
            </w:r>
            <w:r>
              <w:rPr>
                <w:rFonts w:hint="default" w:ascii="Times New Roman" w:hAnsi="Times New Roman" w:cs="Times New Roman"/>
                <w:color w:val="auto"/>
                <w:highlight w:val="none"/>
                <w:lang w:val="en-US" w:eastAsia="zh-CN"/>
              </w:rPr>
              <w:t>废气经布袋除尘器处理后</w:t>
            </w:r>
            <w:r>
              <w:rPr>
                <w:rFonts w:hint="eastAsia" w:ascii="Times New Roman" w:hAnsi="Times New Roman" w:cs="Times New Roman"/>
                <w:color w:val="auto"/>
                <w:highlight w:val="none"/>
                <w:lang w:val="en-US" w:eastAsia="zh-CN"/>
              </w:rPr>
              <w:t>通过15m高排气筒排放，满足《大气污染物综合排放标准》（GB16297-1996）表2新污染源二级标准，严格执行国家、自治区、</w:t>
            </w:r>
            <w:r>
              <w:rPr>
                <w:rFonts w:hint="eastAsia" w:ascii="Times New Roman" w:hAnsi="Times New Roman" w:cs="Times New Roman"/>
                <w:highlight w:val="none"/>
                <w:lang w:val="en-US" w:eastAsia="zh-CN"/>
              </w:rPr>
              <w:t>巴彦淖尔市下达的相关大气污染防治要求，满足产业准入、总量控制、排放标准等管理制度要求。</w:t>
            </w:r>
          </w:p>
          <w:p>
            <w:pPr>
              <w:pStyle w:val="6"/>
              <w:ind w:firstLine="480"/>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综上，本项目不会突破当地大气环境质量底线。</w:t>
            </w:r>
          </w:p>
          <w:p>
            <w:pPr>
              <w:pStyle w:val="6"/>
              <w:ind w:firstLine="480"/>
              <w:rPr>
                <w:rFonts w:hint="eastAsia" w:ascii="Times New Roman" w:hAnsi="Times New Roman" w:cs="Times New Roman"/>
                <w:lang w:val="en-US" w:eastAsia="zh-CN"/>
              </w:rPr>
            </w:pPr>
            <w:r>
              <w:rPr>
                <w:rFonts w:hint="default" w:ascii="Times New Roman" w:hAnsi="Times New Roman" w:cs="Times New Roman"/>
                <w:lang w:val="en-US" w:eastAsia="zh-CN"/>
              </w:rPr>
              <w:t>②</w:t>
            </w:r>
            <w:r>
              <w:rPr>
                <w:rFonts w:hint="eastAsia" w:ascii="Times New Roman" w:hAnsi="Times New Roman" w:cs="Times New Roman"/>
                <w:lang w:val="en-US" w:eastAsia="zh-CN"/>
              </w:rPr>
              <w:t>水环境质量底线</w:t>
            </w:r>
          </w:p>
          <w:p>
            <w:pPr>
              <w:pStyle w:val="6"/>
              <w:ind w:firstLine="480"/>
              <w:rPr>
                <w:rFonts w:hint="eastAsia" w:ascii="Times New Roman" w:hAnsi="Times New Roman" w:cs="Times New Roman"/>
                <w:lang w:val="en-US" w:eastAsia="zh-CN"/>
              </w:rPr>
            </w:pPr>
            <w:r>
              <w:rPr>
                <w:rFonts w:hint="eastAsia" w:cs="Times New Roman"/>
                <w:lang w:eastAsia="zh-CN"/>
              </w:rPr>
              <w:t>根据巴彦淖尔市人民政府2021年12月27日发布的关于印发《巴彦淖尔市“三线一单”生态环境分区管控方案》的通知（巴政发[2021]9号）</w:t>
            </w:r>
            <w:r>
              <w:rPr>
                <w:rFonts w:hint="eastAsia" w:cs="Times New Roman"/>
                <w:lang w:val="en-US" w:eastAsia="zh-CN"/>
              </w:rPr>
              <w:t>中《巴彦淖尔市“三线一单”文</w:t>
            </w:r>
            <w:r>
              <w:rPr>
                <w:rFonts w:hint="eastAsia" w:ascii="Times New Roman" w:hAnsi="Times New Roman" w:cs="Times New Roman"/>
                <w:lang w:val="en-US" w:eastAsia="zh-CN"/>
              </w:rPr>
              <w:t>本》，巴彦淖尔市水环境管控区分为优先保护区、重点管控区和一般管控区。对照图“巴彦淖尔市水环境管控分区图”，本项目所在位置处于水环境一般管控区。</w:t>
            </w:r>
          </w:p>
          <w:p>
            <w:pPr>
              <w:pStyle w:val="6"/>
              <w:ind w:firstLine="480"/>
              <w:rPr>
                <w:rFonts w:hint="default"/>
                <w:lang w:val="en-US" w:eastAsia="zh-CN"/>
              </w:rPr>
            </w:pPr>
            <w:r>
              <w:rPr>
                <w:rFonts w:hint="eastAsia" w:ascii="Times New Roman" w:hAnsi="Times New Roman" w:cs="Times New Roman"/>
                <w:lang w:val="en-US" w:eastAsia="zh-CN"/>
              </w:rPr>
              <w:t>项目</w:t>
            </w:r>
            <w:r>
              <w:rPr>
                <w:rFonts w:hint="eastAsia" w:cs="Times New Roman"/>
                <w:lang w:val="en-US" w:eastAsia="zh-CN"/>
              </w:rPr>
              <w:t>运营期</w:t>
            </w:r>
            <w:r>
              <w:rPr>
                <w:rFonts w:hint="eastAsia" w:ascii="Times New Roman" w:hAnsi="Times New Roman" w:cs="Times New Roman"/>
                <w:lang w:val="en-US" w:eastAsia="zh-CN"/>
              </w:rPr>
              <w:t>无生产废水产生，</w:t>
            </w:r>
            <w:r>
              <w:rPr>
                <w:rFonts w:hint="eastAsia" w:cs="Times New Roman"/>
                <w:lang w:val="en-US" w:eastAsia="zh-CN"/>
              </w:rPr>
              <w:t>生活</w:t>
            </w:r>
            <w:bookmarkStart w:id="6" w:name="_GoBack"/>
            <w:bookmarkEnd w:id="6"/>
            <w:r>
              <w:rPr>
                <w:rFonts w:hint="eastAsia" w:cs="Times New Roman"/>
                <w:lang w:val="en-US" w:eastAsia="zh-CN"/>
              </w:rPr>
              <w:t>污水经防渗化粪池处理后排入市政污水处理管网，</w:t>
            </w:r>
            <w:r>
              <w:rPr>
                <w:rFonts w:hint="eastAsia" w:cs="Times New Roman"/>
                <w:color w:val="FF0000"/>
                <w:highlight w:val="none"/>
                <w:lang w:val="en-US" w:eastAsia="zh-CN"/>
              </w:rPr>
              <w:t>进银定图镇丰乐新村污水处理站进一步处理，</w:t>
            </w:r>
            <w:r>
              <w:rPr>
                <w:rFonts w:hint="eastAsia" w:cs="Times New Roman"/>
                <w:lang w:val="en-US" w:eastAsia="zh-CN"/>
              </w:rPr>
              <w:t>不会对区域水环境造成大的影响，故不会突破当地水环境质量底线要求。</w:t>
            </w:r>
          </w:p>
          <w:p>
            <w:pPr>
              <w:pStyle w:val="6"/>
              <w:ind w:firstLine="480"/>
              <w:rPr>
                <w:rFonts w:hint="eastAsia" w:cs="Times New Roman"/>
                <w:lang w:val="en-US" w:eastAsia="zh-CN"/>
              </w:rPr>
            </w:pPr>
            <w:r>
              <w:rPr>
                <w:rFonts w:hint="default" w:ascii="Times New Roman" w:hAnsi="Times New Roman" w:cs="Times New Roman"/>
                <w:lang w:val="en-US" w:eastAsia="zh-CN"/>
              </w:rPr>
              <w:t>③土壤环</w:t>
            </w:r>
            <w:r>
              <w:rPr>
                <w:rFonts w:hint="eastAsia" w:cs="Times New Roman"/>
                <w:lang w:val="en-US" w:eastAsia="zh-CN"/>
              </w:rPr>
              <w:t>境质量底线</w:t>
            </w:r>
          </w:p>
          <w:p>
            <w:pPr>
              <w:pStyle w:val="6"/>
              <w:ind w:firstLine="480"/>
              <w:rPr>
                <w:rFonts w:hint="eastAsia" w:cs="Times New Roman"/>
                <w:lang w:val="en-US" w:eastAsia="zh-CN"/>
              </w:rPr>
            </w:pPr>
            <w:r>
              <w:rPr>
                <w:rFonts w:hint="eastAsia" w:cs="Times New Roman"/>
                <w:lang w:eastAsia="zh-CN"/>
              </w:rPr>
              <w:t>根据巴彦淖尔市人民政府2021年12月27日发布的关于印发《巴彦淖尔市“三线一单”生态环境分区管控方案》的通知（巴政发[2021]9号）</w:t>
            </w:r>
            <w:r>
              <w:rPr>
                <w:rFonts w:hint="eastAsia" w:cs="Times New Roman"/>
                <w:lang w:val="en-US" w:eastAsia="zh-CN"/>
              </w:rPr>
              <w:t>中《巴彦淖尔市“三线一单”文</w:t>
            </w:r>
            <w:r>
              <w:rPr>
                <w:rFonts w:hint="eastAsia" w:ascii="Times New Roman" w:hAnsi="Times New Roman" w:cs="Times New Roman"/>
                <w:lang w:val="en-US" w:eastAsia="zh-CN"/>
              </w:rPr>
              <w:t>本》，</w:t>
            </w:r>
            <w:r>
              <w:rPr>
                <w:rFonts w:hint="eastAsia" w:cs="Times New Roman"/>
                <w:lang w:val="en-US" w:eastAsia="zh-CN"/>
              </w:rPr>
              <w:t>巴彦淖尔市土壤环境风险防控分为农用地优先保护区、农用地和建设用地污染风险重点管控区和一般管控区。本项目用地性质属于设施农用地，属于一般管控区，未提出管控要求。</w:t>
            </w:r>
          </w:p>
          <w:p>
            <w:pPr>
              <w:pStyle w:val="6"/>
              <w:ind w:firstLine="480"/>
              <w:rPr>
                <w:rFonts w:hint="eastAsia" w:cs="Times New Roman"/>
                <w:lang w:val="en-US" w:eastAsia="zh-CN"/>
              </w:rPr>
            </w:pPr>
            <w:r>
              <w:rPr>
                <w:rFonts w:hint="eastAsia" w:cs="Times New Roman"/>
                <w:lang w:val="en-US" w:eastAsia="zh-CN"/>
              </w:rPr>
              <w:t>项目运营期废气、废水能够实现达标排放，固废得到妥善处置，不会对区域土壤环境造成大的影响，不会突破当地土壤环境质量底线。</w:t>
            </w:r>
          </w:p>
          <w:p>
            <w:pPr>
              <w:pStyle w:val="6"/>
              <w:ind w:firstLine="480"/>
              <w:rPr>
                <w:rFonts w:hint="eastAsia" w:cs="Times New Roman"/>
                <w:lang w:val="en-US" w:eastAsia="zh-CN"/>
              </w:rPr>
            </w:pPr>
            <w:r>
              <w:rPr>
                <w:rFonts w:hint="eastAsia" w:cs="Times New Roman"/>
                <w:lang w:val="en-US" w:eastAsia="zh-CN"/>
              </w:rPr>
              <w:t>（3）资源利用上线</w:t>
            </w:r>
          </w:p>
          <w:p>
            <w:pPr>
              <w:pStyle w:val="6"/>
              <w:ind w:firstLine="480"/>
              <w:rPr>
                <w:rFonts w:hint="eastAsia" w:cs="Times New Roman"/>
                <w:lang w:val="en-US" w:eastAsia="zh-CN"/>
              </w:rPr>
            </w:pPr>
            <w:r>
              <w:rPr>
                <w:rFonts w:hint="default" w:ascii="Times New Roman" w:hAnsi="Times New Roman" w:cs="Times New Roman"/>
                <w:lang w:val="en-US" w:eastAsia="zh-CN"/>
              </w:rPr>
              <w:t>①</w:t>
            </w:r>
            <w:r>
              <w:rPr>
                <w:rFonts w:hint="eastAsia" w:cs="Times New Roman"/>
                <w:lang w:val="en-US" w:eastAsia="zh-CN"/>
              </w:rPr>
              <w:t>水资源利用上线</w:t>
            </w:r>
          </w:p>
          <w:p>
            <w:pPr>
              <w:pStyle w:val="6"/>
              <w:ind w:firstLine="480"/>
              <w:rPr>
                <w:rFonts w:hint="eastAsia" w:cs="Times New Roman"/>
                <w:lang w:val="en-US" w:eastAsia="zh-CN"/>
              </w:rPr>
            </w:pPr>
            <w:r>
              <w:rPr>
                <w:rFonts w:hint="eastAsia" w:cs="Times New Roman"/>
                <w:lang w:val="en-US" w:eastAsia="zh-CN"/>
              </w:rPr>
              <w:t>水资源利用上线主要包括用水总量和用水强度，用水总量包括用水总量红线；用水强度主要体现用水效率指标，包括万元GDP用水量、万元工业增加值用水量和灌溉水有效利用系数。根据《全市及各旗县区2025和2035年用水强度表》五原县万元GDP用水量2025年880m</w:t>
            </w:r>
            <w:r>
              <w:rPr>
                <w:rFonts w:hint="eastAsia" w:cs="Times New Roman"/>
                <w:vertAlign w:val="superscript"/>
                <w:lang w:val="en-US" w:eastAsia="zh-CN"/>
              </w:rPr>
              <w:t>3</w:t>
            </w:r>
            <w:r>
              <w:rPr>
                <w:rFonts w:hint="eastAsia" w:cs="Times New Roman"/>
                <w:lang w:val="en-US" w:eastAsia="zh-CN"/>
              </w:rPr>
              <w:t>、2035年692m</w:t>
            </w:r>
            <w:r>
              <w:rPr>
                <w:rFonts w:hint="eastAsia" w:cs="Times New Roman"/>
                <w:vertAlign w:val="superscript"/>
                <w:lang w:val="en-US" w:eastAsia="zh-CN"/>
              </w:rPr>
              <w:t>3</w:t>
            </w:r>
            <w:r>
              <w:rPr>
                <w:rFonts w:hint="eastAsia" w:cs="Times New Roman"/>
                <w:lang w:val="en-US" w:eastAsia="zh-CN"/>
              </w:rPr>
              <w:t>，万元工业增加值用水量2025年11.8m</w:t>
            </w:r>
            <w:r>
              <w:rPr>
                <w:rFonts w:hint="eastAsia" w:cs="Times New Roman"/>
                <w:vertAlign w:val="superscript"/>
                <w:lang w:val="en-US" w:eastAsia="zh-CN"/>
              </w:rPr>
              <w:t>3</w:t>
            </w:r>
            <w:r>
              <w:rPr>
                <w:rFonts w:hint="eastAsia" w:cs="Times New Roman"/>
                <w:lang w:val="en-US" w:eastAsia="zh-CN"/>
              </w:rPr>
              <w:t>、2035年10.5m</w:t>
            </w:r>
            <w:r>
              <w:rPr>
                <w:rFonts w:hint="eastAsia" w:cs="Times New Roman"/>
                <w:vertAlign w:val="superscript"/>
                <w:lang w:val="en-US" w:eastAsia="zh-CN"/>
              </w:rPr>
              <w:t>3</w:t>
            </w:r>
            <w:r>
              <w:rPr>
                <w:rFonts w:hint="eastAsia" w:cs="Times New Roman"/>
                <w:lang w:val="en-US" w:eastAsia="zh-CN"/>
              </w:rPr>
              <w:t>；灌溉水有效利用系数2025年0.447、2035年0.502。</w:t>
            </w:r>
          </w:p>
          <w:p>
            <w:pPr>
              <w:pStyle w:val="6"/>
              <w:ind w:firstLine="480"/>
              <w:rPr>
                <w:rFonts w:hint="eastAsia"/>
                <w:lang w:val="en-US" w:eastAsia="zh-CN"/>
              </w:rPr>
            </w:pPr>
            <w:r>
              <w:rPr>
                <w:rFonts w:hint="eastAsia" w:cs="Times New Roman"/>
                <w:lang w:val="en-US" w:eastAsia="zh-CN"/>
              </w:rPr>
              <w:t>管控区主要包括生态用水补给区和地下水开采重点管控区。对照图“巴彦淖尔市生态用水补给区图”，本项目位于生态用水补给区。项目生产、生活用水由市政供水管网供给，年用水量为342m</w:t>
            </w:r>
            <w:r>
              <w:rPr>
                <w:rFonts w:hint="eastAsia" w:cs="Times New Roman"/>
                <w:vertAlign w:val="superscript"/>
                <w:lang w:val="en-US" w:eastAsia="zh-CN"/>
              </w:rPr>
              <w:t>3</w:t>
            </w:r>
            <w:r>
              <w:rPr>
                <w:rFonts w:hint="eastAsia" w:cs="Times New Roman"/>
                <w:lang w:val="en-US" w:eastAsia="zh-CN"/>
              </w:rPr>
              <w:t>。项目为农产品加工项目，不在工业聚集区，不会突破水资源利用上线。</w:t>
            </w:r>
          </w:p>
          <w:p>
            <w:pPr>
              <w:pStyle w:val="38"/>
              <w:bidi w:val="0"/>
              <w:rPr>
                <w:rFonts w:hint="eastAsia"/>
                <w:sz w:val="24"/>
                <w:szCs w:val="24"/>
                <w:lang w:val="en-US" w:eastAsia="zh-CN"/>
              </w:rPr>
            </w:pPr>
            <w:r>
              <w:rPr>
                <w:rFonts w:hint="eastAsia"/>
                <w:sz w:val="24"/>
                <w:szCs w:val="24"/>
                <w:lang w:val="en-US" w:eastAsia="zh-CN"/>
              </w:rPr>
              <w:t>表1-1 水资源利用上线分析</w:t>
            </w:r>
          </w:p>
          <w:tbl>
            <w:tblPr>
              <w:tblStyle w:val="24"/>
              <w:tblW w:w="671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20"/>
              <w:gridCol w:w="2475"/>
              <w:gridCol w:w="7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20" w:type="dxa"/>
                  <w:vAlign w:val="center"/>
                </w:tcPr>
                <w:p>
                  <w:pPr>
                    <w:pStyle w:val="39"/>
                    <w:bidi w:val="0"/>
                    <w:jc w:val="center"/>
                    <w:rPr>
                      <w:rFonts w:hint="eastAsia"/>
                      <w:b/>
                      <w:bCs/>
                      <w:lang w:val="en-US" w:eastAsia="zh-CN" w:bidi="ar-SA"/>
                    </w:rPr>
                  </w:pPr>
                  <w:r>
                    <w:rPr>
                      <w:rFonts w:hint="eastAsia"/>
                      <w:b/>
                      <w:bCs/>
                      <w:lang w:val="en-US" w:eastAsia="zh-CN" w:bidi="ar-SA"/>
                    </w:rPr>
                    <w:t>要求</w:t>
                  </w:r>
                </w:p>
              </w:tc>
              <w:tc>
                <w:tcPr>
                  <w:tcW w:w="2475" w:type="dxa"/>
                  <w:vAlign w:val="center"/>
                </w:tcPr>
                <w:p>
                  <w:pPr>
                    <w:pStyle w:val="39"/>
                    <w:bidi w:val="0"/>
                    <w:jc w:val="center"/>
                    <w:rPr>
                      <w:rFonts w:hint="eastAsia"/>
                      <w:b/>
                      <w:bCs/>
                      <w:lang w:val="en-US" w:eastAsia="zh-CN" w:bidi="ar-SA"/>
                    </w:rPr>
                  </w:pPr>
                  <w:r>
                    <w:rPr>
                      <w:rFonts w:hint="eastAsia"/>
                      <w:b/>
                      <w:bCs/>
                      <w:lang w:val="en-US" w:eastAsia="zh-CN" w:bidi="ar-SA"/>
                    </w:rPr>
                    <w:t>本项目</w:t>
                  </w:r>
                </w:p>
              </w:tc>
              <w:tc>
                <w:tcPr>
                  <w:tcW w:w="719" w:type="dxa"/>
                  <w:vAlign w:val="center"/>
                </w:tcPr>
                <w:p>
                  <w:pPr>
                    <w:pStyle w:val="39"/>
                    <w:bidi w:val="0"/>
                    <w:jc w:val="center"/>
                    <w:rPr>
                      <w:rFonts w:hint="eastAsia"/>
                      <w:b/>
                      <w:bCs/>
                      <w:lang w:val="en-US" w:eastAsia="zh-CN" w:bidi="ar-SA"/>
                    </w:rPr>
                  </w:pPr>
                  <w:r>
                    <w:rPr>
                      <w:rFonts w:hint="eastAsia"/>
                      <w:b/>
                      <w:bCs/>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20" w:type="dxa"/>
                  <w:vAlign w:val="center"/>
                </w:tcPr>
                <w:p>
                  <w:pPr>
                    <w:pStyle w:val="39"/>
                    <w:bidi w:val="0"/>
                    <w:jc w:val="center"/>
                    <w:rPr>
                      <w:rFonts w:hint="eastAsia"/>
                      <w:lang w:val="en-US" w:eastAsia="zh-CN" w:bidi="ar-SA"/>
                    </w:rPr>
                  </w:pPr>
                  <w:r>
                    <w:rPr>
                      <w:rFonts w:hint="eastAsia"/>
                      <w:lang w:val="en-US" w:eastAsia="zh-CN" w:bidi="ar-SA"/>
                    </w:rPr>
                    <w:t>新增用水项目生产工艺、单位产品和产值水耗、用水效率等应满足国家相关节水要求。根据自治区“水十条”要求，抓好工业节水，严格用水定额管理。节水设施应与主体工程同时设计、同时施工、同时投运</w:t>
                  </w:r>
                </w:p>
              </w:tc>
              <w:tc>
                <w:tcPr>
                  <w:tcW w:w="2475" w:type="dxa"/>
                  <w:vAlign w:val="center"/>
                </w:tcPr>
                <w:p>
                  <w:pPr>
                    <w:pStyle w:val="39"/>
                    <w:bidi w:val="0"/>
                    <w:jc w:val="center"/>
                    <w:rPr>
                      <w:rFonts w:hint="eastAsia"/>
                      <w:lang w:val="en-US" w:eastAsia="zh-CN" w:bidi="ar-SA"/>
                    </w:rPr>
                  </w:pPr>
                  <w:r>
                    <w:rPr>
                      <w:rFonts w:hint="eastAsia"/>
                      <w:lang w:val="en-US" w:eastAsia="zh-CN" w:bidi="ar-SA"/>
                    </w:rPr>
                    <w:t>项目运营期葵花籽加工水煮过程中锅内水循环使用，因蒸发</w:t>
                  </w:r>
                  <w:r>
                    <w:rPr>
                      <w:rFonts w:hint="eastAsia"/>
                      <w:color w:val="FF0000"/>
                      <w:highlight w:val="none"/>
                      <w:lang w:val="en-US" w:eastAsia="zh-CN" w:bidi="ar-SA"/>
                    </w:rPr>
                    <w:t>耗损</w:t>
                  </w:r>
                  <w:r>
                    <w:rPr>
                      <w:rFonts w:hint="eastAsia"/>
                      <w:lang w:val="en-US" w:eastAsia="zh-CN" w:bidi="ar-SA"/>
                    </w:rPr>
                    <w:t>定期添加新鲜水，单位产值水耗均低于同行业水平</w:t>
                  </w:r>
                </w:p>
              </w:tc>
              <w:tc>
                <w:tcPr>
                  <w:tcW w:w="719" w:type="dxa"/>
                  <w:vAlign w:val="center"/>
                </w:tcPr>
                <w:p>
                  <w:pPr>
                    <w:pStyle w:val="39"/>
                    <w:bidi w:val="0"/>
                    <w:jc w:val="center"/>
                    <w:rPr>
                      <w:rFonts w:hint="eastAsia"/>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20" w:type="dxa"/>
                  <w:vAlign w:val="center"/>
                </w:tcPr>
                <w:p>
                  <w:pPr>
                    <w:pStyle w:val="39"/>
                    <w:bidi w:val="0"/>
                    <w:jc w:val="center"/>
                    <w:rPr>
                      <w:rFonts w:hint="eastAsia"/>
                      <w:lang w:val="en-US" w:eastAsia="zh-CN" w:bidi="ar-SA"/>
                    </w:rPr>
                  </w:pPr>
                  <w:r>
                    <w:rPr>
                      <w:rFonts w:hint="eastAsia"/>
                      <w:lang w:val="en-US" w:eastAsia="zh-CN" w:bidi="ar-SA"/>
                    </w:rPr>
                    <w:t>新增取用水项目单位产品水耗和复用水率应满足国家行业用水定额和《内蒙古自治区行业用水定额标准（DB15/T385-2020）》</w:t>
                  </w:r>
                </w:p>
              </w:tc>
              <w:tc>
                <w:tcPr>
                  <w:tcW w:w="2475" w:type="dxa"/>
                  <w:vAlign w:val="center"/>
                </w:tcPr>
                <w:p>
                  <w:pPr>
                    <w:pStyle w:val="39"/>
                    <w:bidi w:val="0"/>
                    <w:jc w:val="center"/>
                    <w:rPr>
                      <w:rFonts w:hint="eastAsia"/>
                      <w:lang w:val="en-US" w:eastAsia="zh-CN" w:bidi="ar-SA"/>
                    </w:rPr>
                  </w:pPr>
                  <w:r>
                    <w:rPr>
                      <w:rFonts w:hint="eastAsia"/>
                      <w:lang w:val="en-US" w:eastAsia="zh-CN" w:bidi="ar-SA"/>
                    </w:rPr>
                    <w:t>《内蒙古自治区行业用水定额标准（DB15/T385-2020）》</w:t>
                  </w:r>
                </w:p>
                <w:p>
                  <w:pPr>
                    <w:pStyle w:val="39"/>
                    <w:bidi w:val="0"/>
                    <w:jc w:val="center"/>
                    <w:rPr>
                      <w:rFonts w:hint="eastAsia"/>
                      <w:lang w:val="en-US" w:eastAsia="zh-CN" w:bidi="ar-SA"/>
                    </w:rPr>
                  </w:pPr>
                  <w:r>
                    <w:rPr>
                      <w:rFonts w:hint="eastAsia"/>
                      <w:lang w:val="en-US" w:eastAsia="zh-CN" w:bidi="ar-SA"/>
                    </w:rPr>
                    <w:t>“C1499 其他未列明食品制造”行业用水定额为6.6m</w:t>
                  </w:r>
                  <w:r>
                    <w:rPr>
                      <w:rFonts w:hint="eastAsia"/>
                      <w:vertAlign w:val="superscript"/>
                      <w:lang w:val="en-US" w:eastAsia="zh-CN" w:bidi="ar-SA"/>
                    </w:rPr>
                    <w:t>3</w:t>
                  </w:r>
                  <w:r>
                    <w:rPr>
                      <w:rFonts w:hint="eastAsia"/>
                      <w:lang w:val="en-US" w:eastAsia="zh-CN" w:bidi="ar-SA"/>
                    </w:rPr>
                    <w:t>/t，本项目运营期生产用水约合0.08m</w:t>
                  </w:r>
                  <w:r>
                    <w:rPr>
                      <w:rFonts w:hint="eastAsia"/>
                      <w:vertAlign w:val="superscript"/>
                      <w:lang w:val="en-US" w:eastAsia="zh-CN" w:bidi="ar-SA"/>
                    </w:rPr>
                    <w:t>3</w:t>
                  </w:r>
                  <w:r>
                    <w:rPr>
                      <w:rFonts w:hint="eastAsia"/>
                      <w:lang w:val="en-US" w:eastAsia="zh-CN" w:bidi="ar-SA"/>
                    </w:rPr>
                    <w:t>/t，符合定额要求</w:t>
                  </w:r>
                </w:p>
              </w:tc>
              <w:tc>
                <w:tcPr>
                  <w:tcW w:w="719" w:type="dxa"/>
                  <w:vAlign w:val="center"/>
                </w:tcPr>
                <w:p>
                  <w:pPr>
                    <w:pStyle w:val="39"/>
                    <w:bidi w:val="0"/>
                    <w:jc w:val="center"/>
                    <w:rPr>
                      <w:rFonts w:hint="eastAsia"/>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20" w:type="dxa"/>
                  <w:vAlign w:val="center"/>
                </w:tcPr>
                <w:p>
                  <w:pPr>
                    <w:pStyle w:val="39"/>
                    <w:bidi w:val="0"/>
                    <w:jc w:val="center"/>
                    <w:rPr>
                      <w:rFonts w:hint="eastAsia"/>
                      <w:lang w:val="en-US" w:eastAsia="zh-CN" w:bidi="ar-SA"/>
                    </w:rPr>
                  </w:pPr>
                  <w:r>
                    <w:rPr>
                      <w:rFonts w:hint="eastAsia"/>
                      <w:lang w:val="en-US" w:eastAsia="zh-CN" w:bidi="ar-SA"/>
                    </w:rPr>
                    <w:t>新增取用水项目万元工业增加值用水量应满足最严格水资源管理三条红线中用水效率红线要求，包括万元GDP用水量、万元工业增加值用水量和灌溉水有效利用系数；新增取用水项目应优先使用再生水，工业生产、城市绿化、道路清扫、车辆冲洗、建筑施工以及生态景观等用水，要优先使用再生水。具备使用再生水条件但未充分利用的钢铁、火电、化工、制浆造纸、印染等项目，不得批准其新增取水许可</w:t>
                  </w:r>
                </w:p>
              </w:tc>
              <w:tc>
                <w:tcPr>
                  <w:tcW w:w="2475" w:type="dxa"/>
                  <w:vAlign w:val="center"/>
                </w:tcPr>
                <w:p>
                  <w:pPr>
                    <w:pStyle w:val="39"/>
                    <w:bidi w:val="0"/>
                    <w:jc w:val="center"/>
                    <w:rPr>
                      <w:rFonts w:hint="eastAsia"/>
                      <w:lang w:val="en-US" w:eastAsia="zh-CN" w:bidi="ar-SA"/>
                    </w:rPr>
                  </w:pPr>
                  <w:r>
                    <w:rPr>
                      <w:rFonts w:hint="eastAsia"/>
                      <w:lang w:val="en-US" w:eastAsia="zh-CN" w:bidi="ar-SA"/>
                    </w:rPr>
                    <w:t>项目运营期葵花籽加工水煮过程中锅内水循环使用，因蒸发</w:t>
                  </w:r>
                  <w:r>
                    <w:rPr>
                      <w:rFonts w:hint="eastAsia"/>
                      <w:highlight w:val="none"/>
                      <w:lang w:val="en-US" w:eastAsia="zh-CN" w:bidi="ar-SA"/>
                    </w:rPr>
                    <w:t>耗损</w:t>
                  </w:r>
                  <w:r>
                    <w:rPr>
                      <w:rFonts w:hint="eastAsia"/>
                      <w:lang w:val="en-US" w:eastAsia="zh-CN" w:bidi="ar-SA"/>
                    </w:rPr>
                    <w:t>定期添加新鲜水，新鲜水用量很少。项目建成后可以充分的提高当地GDP产值，增加地方税收，满足最严格水资源管理三条红线中用水效率红线要求</w:t>
                  </w:r>
                </w:p>
              </w:tc>
              <w:tc>
                <w:tcPr>
                  <w:tcW w:w="719" w:type="dxa"/>
                  <w:vAlign w:val="center"/>
                </w:tcPr>
                <w:p>
                  <w:pPr>
                    <w:pStyle w:val="39"/>
                    <w:bidi w:val="0"/>
                    <w:jc w:val="center"/>
                    <w:rPr>
                      <w:rFonts w:hint="eastAsia"/>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20" w:type="dxa"/>
                  <w:vAlign w:val="center"/>
                </w:tcPr>
                <w:p>
                  <w:pPr>
                    <w:pStyle w:val="39"/>
                    <w:bidi w:val="0"/>
                    <w:jc w:val="center"/>
                    <w:rPr>
                      <w:rFonts w:hint="eastAsia"/>
                      <w:lang w:val="en-US" w:eastAsia="zh-CN" w:bidi="ar-SA"/>
                    </w:rPr>
                  </w:pPr>
                  <w:r>
                    <w:rPr>
                      <w:rFonts w:hint="eastAsia"/>
                      <w:lang w:val="en-US" w:eastAsia="zh-CN" w:bidi="ar-SA"/>
                    </w:rPr>
                    <w:t>新增取用水项目污水排放率应满足国家和自治区“水十条”要求，工业集聚区应按规定建设污水集中处理设施，并安装自动在线监控装置，出水水质达到相应排放标准或再生利用要求。敏感区域（重点湖泊、重点水库汇水区域）污水处理设施应达到一级A排放标准</w:t>
                  </w:r>
                </w:p>
              </w:tc>
              <w:tc>
                <w:tcPr>
                  <w:tcW w:w="2475" w:type="dxa"/>
                  <w:vAlign w:val="center"/>
                </w:tcPr>
                <w:p>
                  <w:pPr>
                    <w:pStyle w:val="39"/>
                    <w:bidi w:val="0"/>
                    <w:jc w:val="center"/>
                    <w:rPr>
                      <w:rFonts w:hint="eastAsia"/>
                      <w:lang w:val="en-US" w:eastAsia="zh-CN" w:bidi="ar-SA"/>
                    </w:rPr>
                  </w:pPr>
                  <w:r>
                    <w:rPr>
                      <w:rFonts w:hint="eastAsia"/>
                      <w:lang w:val="en-US" w:eastAsia="zh-CN" w:bidi="ar-SA"/>
                    </w:rPr>
                    <w:t>项目无生产废水，生活污水经防渗化粪池处理后排入市政污水管网，</w:t>
                  </w:r>
                  <w:r>
                    <w:rPr>
                      <w:rFonts w:hint="eastAsia" w:cs="Times New Roman"/>
                      <w:lang w:val="en-US" w:eastAsia="zh-CN" w:bidi="ar-SA"/>
                    </w:rPr>
                    <w:t>进银定图镇丰乐新村污水处理站进一步处理，</w:t>
                  </w:r>
                  <w:r>
                    <w:rPr>
                      <w:rFonts w:hint="eastAsia"/>
                      <w:lang w:val="en-US" w:eastAsia="zh-CN" w:bidi="ar-SA"/>
                    </w:rPr>
                    <w:t>满足国家及地方相关规定</w:t>
                  </w:r>
                </w:p>
              </w:tc>
              <w:tc>
                <w:tcPr>
                  <w:tcW w:w="719" w:type="dxa"/>
                  <w:vAlign w:val="center"/>
                </w:tcPr>
                <w:p>
                  <w:pPr>
                    <w:pStyle w:val="39"/>
                    <w:bidi w:val="0"/>
                    <w:jc w:val="center"/>
                    <w:rPr>
                      <w:rFonts w:hint="eastAsia"/>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20" w:type="dxa"/>
                  <w:vAlign w:val="center"/>
                </w:tcPr>
                <w:p>
                  <w:pPr>
                    <w:pStyle w:val="39"/>
                    <w:bidi w:val="0"/>
                    <w:jc w:val="center"/>
                    <w:rPr>
                      <w:rFonts w:hint="eastAsia"/>
                      <w:lang w:val="en-US" w:eastAsia="zh-CN" w:bidi="ar-SA"/>
                    </w:rPr>
                  </w:pPr>
                  <w:r>
                    <w:rPr>
                      <w:rFonts w:hint="eastAsia"/>
                      <w:lang w:val="en-US" w:eastAsia="zh-CN" w:bidi="ar-SA"/>
                    </w:rPr>
                    <w:t>对于生态用水补给区所属地区取水总量已超过控制指标的，禁止高耗水产业准入</w:t>
                  </w:r>
                </w:p>
              </w:tc>
              <w:tc>
                <w:tcPr>
                  <w:tcW w:w="2475" w:type="dxa"/>
                  <w:vAlign w:val="center"/>
                </w:tcPr>
                <w:p>
                  <w:pPr>
                    <w:pStyle w:val="39"/>
                    <w:bidi w:val="0"/>
                    <w:jc w:val="center"/>
                    <w:rPr>
                      <w:rFonts w:hint="eastAsia"/>
                      <w:lang w:val="en-US" w:eastAsia="zh-CN" w:bidi="ar-SA"/>
                    </w:rPr>
                  </w:pPr>
                  <w:r>
                    <w:rPr>
                      <w:rFonts w:hint="eastAsia"/>
                      <w:lang w:val="en-US" w:eastAsia="zh-CN" w:bidi="ar-SA"/>
                    </w:rPr>
                    <w:t>本项目不属于高耗水产业</w:t>
                  </w:r>
                </w:p>
              </w:tc>
              <w:tc>
                <w:tcPr>
                  <w:tcW w:w="719" w:type="dxa"/>
                  <w:vAlign w:val="center"/>
                </w:tcPr>
                <w:p>
                  <w:pPr>
                    <w:pStyle w:val="39"/>
                    <w:bidi w:val="0"/>
                    <w:jc w:val="center"/>
                    <w:rPr>
                      <w:rFonts w:hint="eastAsia"/>
                      <w:lang w:val="en-US" w:eastAsia="zh-CN" w:bidi="ar-SA"/>
                    </w:rPr>
                  </w:pPr>
                  <w:r>
                    <w:rPr>
                      <w:rFonts w:hint="eastAsia"/>
                      <w:lang w:val="en-US" w:eastAsia="zh-CN" w:bidi="ar-SA"/>
                    </w:rPr>
                    <w:t>符合</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eastAsia" w:cs="Times New Roman"/>
                <w:lang w:val="en-US" w:eastAsia="zh-CN"/>
              </w:rPr>
            </w:pPr>
            <w:r>
              <w:rPr>
                <w:rFonts w:hint="eastAsia" w:cs="Times New Roman"/>
                <w:lang w:val="en-US" w:eastAsia="zh-CN"/>
              </w:rPr>
              <w:t>综上，项目建设不会突破当地水资源利用上线。</w:t>
            </w:r>
          </w:p>
          <w:p>
            <w:pPr>
              <w:pStyle w:val="6"/>
              <w:ind w:firstLine="480"/>
              <w:rPr>
                <w:rFonts w:hint="eastAsia" w:cs="Times New Roman"/>
                <w:lang w:val="en-US" w:eastAsia="zh-CN"/>
              </w:rPr>
            </w:pPr>
            <w:r>
              <w:rPr>
                <w:rFonts w:hint="default" w:ascii="Times New Roman" w:hAnsi="Times New Roman" w:cs="Times New Roman"/>
                <w:lang w:val="en-US" w:eastAsia="zh-CN"/>
              </w:rPr>
              <w:t>②土地</w:t>
            </w:r>
            <w:r>
              <w:rPr>
                <w:rFonts w:hint="eastAsia" w:cs="Times New Roman"/>
                <w:lang w:val="en-US" w:eastAsia="zh-CN"/>
              </w:rPr>
              <w:t>资源利用上线</w:t>
            </w:r>
          </w:p>
          <w:p>
            <w:pPr>
              <w:pStyle w:val="6"/>
              <w:ind w:firstLine="480"/>
              <w:rPr>
                <w:rFonts w:hint="eastAsia" w:cs="Times New Roman"/>
                <w:lang w:val="en-US" w:eastAsia="zh-CN"/>
              </w:rPr>
            </w:pPr>
            <w:r>
              <w:rPr>
                <w:rFonts w:hint="eastAsia" w:cs="Times New Roman"/>
                <w:lang w:val="en-US" w:eastAsia="zh-CN"/>
              </w:rPr>
              <w:t>对照“巴彦淖尔市土地资源重点管控区图”，本项目属于土地资源一般管控区，项目不在当地生态保护红线范围内，且占地不涉及永久基本农田、采矿用地及主要城市建成区，项目用地不会突破当地土地资源利用上线。</w:t>
            </w:r>
          </w:p>
          <w:p>
            <w:pPr>
              <w:pStyle w:val="6"/>
              <w:ind w:firstLine="480"/>
              <w:rPr>
                <w:rFonts w:hint="eastAsia" w:cs="Times New Roman"/>
                <w:lang w:val="en-US" w:eastAsia="zh-CN"/>
              </w:rPr>
            </w:pPr>
            <w:r>
              <w:rPr>
                <w:rFonts w:hint="default" w:ascii="Times New Roman" w:hAnsi="Times New Roman" w:cs="Times New Roman"/>
                <w:lang w:val="en-US" w:eastAsia="zh-CN"/>
              </w:rPr>
              <w:t>③</w:t>
            </w:r>
            <w:r>
              <w:rPr>
                <w:rFonts w:hint="eastAsia" w:ascii="Times New Roman" w:hAnsi="Times New Roman" w:cs="Times New Roman"/>
                <w:lang w:val="en-US" w:eastAsia="zh-CN"/>
              </w:rPr>
              <w:t>能源利用上</w:t>
            </w:r>
            <w:r>
              <w:rPr>
                <w:rFonts w:hint="eastAsia" w:cs="Times New Roman"/>
                <w:lang w:val="en-US" w:eastAsia="zh-CN"/>
              </w:rPr>
              <w:t>线</w:t>
            </w:r>
          </w:p>
          <w:p>
            <w:pPr>
              <w:pStyle w:val="6"/>
              <w:ind w:firstLine="480"/>
              <w:rPr>
                <w:rFonts w:hint="eastAsia" w:cs="Times New Roman"/>
                <w:highlight w:val="none"/>
                <w:lang w:val="en-US" w:eastAsia="zh-CN"/>
              </w:rPr>
            </w:pPr>
            <w:r>
              <w:rPr>
                <w:rFonts w:hint="eastAsia" w:cs="Times New Roman"/>
                <w:highlight w:val="none"/>
                <w:lang w:val="en-US" w:eastAsia="zh-CN"/>
              </w:rPr>
              <w:t>项目运营期生产用热使用生物质燃料，不消耗化石燃料，不受资源利用上线限制。</w:t>
            </w:r>
          </w:p>
          <w:p>
            <w:pPr>
              <w:pStyle w:val="6"/>
              <w:ind w:firstLine="480"/>
              <w:rPr>
                <w:rFonts w:hint="eastAsia" w:cs="Times New Roman"/>
                <w:lang w:val="en-US" w:eastAsia="zh-CN"/>
              </w:rPr>
            </w:pPr>
            <w:r>
              <w:rPr>
                <w:rFonts w:hint="eastAsia" w:cs="Times New Roman"/>
                <w:lang w:val="en-US" w:eastAsia="zh-CN"/>
              </w:rPr>
              <w:t>（4）生态环境准入清单</w:t>
            </w:r>
          </w:p>
          <w:p>
            <w:pPr>
              <w:pStyle w:val="6"/>
              <w:ind w:firstLine="480"/>
              <w:rPr>
                <w:rFonts w:hint="eastAsia" w:cs="Times New Roman"/>
                <w:color w:val="FF0000"/>
                <w:highlight w:val="none"/>
                <w:lang w:val="en-US" w:eastAsia="zh-CN"/>
              </w:rPr>
            </w:pPr>
            <w:r>
              <w:rPr>
                <w:rFonts w:hint="eastAsia" w:cs="Times New Roman"/>
                <w:lang w:val="en-US" w:eastAsia="zh-CN"/>
              </w:rPr>
              <w:t>根据巴彦淖尔市人民政府2021年12月27日发布的关于印发《巴彦淖尔市“三线一单”生态环境分区管控方案》的通知（巴政发[2021]9号），</w:t>
            </w:r>
            <w:r>
              <w:rPr>
                <w:rFonts w:hint="eastAsia" w:cs="Times New Roman"/>
                <w:color w:val="FF0000"/>
                <w:highlight w:val="none"/>
                <w:lang w:val="en-US" w:eastAsia="zh-CN"/>
              </w:rPr>
              <w:t>全市共划定环境管控单元249个，包括优先保护单元、重点管控单元、一般管控单元三类，实施分类管控。</w:t>
            </w:r>
          </w:p>
          <w:p>
            <w:pPr>
              <w:pStyle w:val="6"/>
              <w:ind w:firstLine="480"/>
              <w:rPr>
                <w:rFonts w:hint="eastAsia" w:cs="Times New Roman"/>
                <w:lang w:val="en-US" w:eastAsia="zh-CN"/>
              </w:rPr>
            </w:pPr>
            <w:r>
              <w:rPr>
                <w:rFonts w:hint="eastAsia" w:cs="Times New Roman"/>
                <w:color w:val="FF0000"/>
                <w:highlight w:val="none"/>
                <w:lang w:val="en-US" w:eastAsia="zh-CN"/>
              </w:rPr>
              <w:t>本项目位于五原县</w:t>
            </w:r>
            <w:r>
              <w:rPr>
                <w:rFonts w:hint="eastAsia"/>
                <w:snapToGrid w:val="0"/>
                <w:color w:val="FF0000"/>
                <w:kern w:val="0"/>
                <w:sz w:val="24"/>
                <w:highlight w:val="none"/>
              </w:rPr>
              <w:t>银定图镇</w:t>
            </w:r>
            <w:r>
              <w:rPr>
                <w:rFonts w:hint="eastAsia"/>
                <w:snapToGrid w:val="0"/>
                <w:color w:val="FF0000"/>
                <w:kern w:val="0"/>
                <w:sz w:val="24"/>
                <w:highlight w:val="none"/>
                <w:lang w:val="en-US" w:eastAsia="zh-CN"/>
              </w:rPr>
              <w:t>丰乐移民新村</w:t>
            </w:r>
            <w:r>
              <w:rPr>
                <w:rFonts w:hint="eastAsia" w:cs="Times New Roman"/>
                <w:color w:val="FF0000"/>
                <w:highlight w:val="none"/>
                <w:lang w:val="en-US" w:eastAsia="zh-CN"/>
              </w:rPr>
              <w:t>，根据《巴彦淖尔市生态环境准入清单》</w:t>
            </w:r>
            <w:r>
              <w:rPr>
                <w:rFonts w:hint="eastAsia" w:ascii="Times New Roman" w:hAnsi="Times New Roman" w:eastAsia="宋体" w:cs="Times New Roman"/>
                <w:color w:val="FF0000"/>
                <w:sz w:val="24"/>
                <w:szCs w:val="24"/>
                <w:highlight w:val="none"/>
                <w:lang w:val="en-US" w:eastAsia="zh-CN"/>
              </w:rPr>
              <w:t>（巴环函[2021]61号）</w:t>
            </w:r>
            <w:r>
              <w:rPr>
                <w:rFonts w:hint="eastAsia" w:cs="Times New Roman"/>
                <w:color w:val="FF0000"/>
                <w:highlight w:val="none"/>
                <w:lang w:val="en-US" w:eastAsia="zh-CN"/>
              </w:rPr>
              <w:t>，</w:t>
            </w:r>
            <w:r>
              <w:rPr>
                <w:rFonts w:hint="eastAsia" w:ascii="Times New Roman" w:hAnsi="Times New Roman" w:eastAsia="宋体" w:cs="Times New Roman"/>
                <w:color w:val="FF0000"/>
                <w:sz w:val="24"/>
                <w:szCs w:val="24"/>
                <w:highlight w:val="none"/>
                <w:lang w:val="en-US" w:eastAsia="zh-CN"/>
              </w:rPr>
              <w:t>项目地属于</w:t>
            </w:r>
            <w:r>
              <w:rPr>
                <w:rFonts w:hint="eastAsia" w:cs="Times New Roman"/>
                <w:color w:val="FF0000"/>
                <w:highlight w:val="none"/>
                <w:lang w:val="en-US" w:eastAsia="zh-CN"/>
              </w:rPr>
              <w:t>其他项目用地控制单元，环境管控单元编码ZH15082120004，属于重点管控单元，</w:t>
            </w:r>
            <w:r>
              <w:rPr>
                <w:rFonts w:hint="eastAsia" w:cs="Times New Roman"/>
                <w:lang w:val="en-US" w:eastAsia="zh-CN"/>
              </w:rPr>
              <w:t>本项目建设与管控单元管控要求符合性分析如下：</w:t>
            </w:r>
          </w:p>
          <w:p>
            <w:pPr>
              <w:pStyle w:val="38"/>
              <w:bidi w:val="0"/>
              <w:rPr>
                <w:rFonts w:hint="eastAsia"/>
                <w:sz w:val="24"/>
                <w:szCs w:val="24"/>
                <w:lang w:val="en-US" w:eastAsia="zh-CN"/>
              </w:rPr>
            </w:pPr>
            <w:r>
              <w:rPr>
                <w:rFonts w:hint="eastAsia"/>
                <w:sz w:val="24"/>
                <w:szCs w:val="24"/>
                <w:lang w:val="en-US" w:eastAsia="zh-CN"/>
              </w:rPr>
              <w:t>表1-2 项目建设与五原县其他项目用地管控要求符合性分析一览表</w:t>
            </w:r>
          </w:p>
          <w:tbl>
            <w:tblPr>
              <w:tblStyle w:val="24"/>
              <w:tblW w:w="671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0"/>
              <w:gridCol w:w="3314"/>
              <w:gridCol w:w="1871"/>
              <w:gridCol w:w="8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84" w:type="dxa"/>
                  <w:gridSpan w:val="2"/>
                  <w:vAlign w:val="center"/>
                </w:tcPr>
                <w:p>
                  <w:pPr>
                    <w:pStyle w:val="39"/>
                    <w:bidi w:val="0"/>
                    <w:jc w:val="center"/>
                    <w:rPr>
                      <w:rFonts w:hint="eastAsia"/>
                      <w:b/>
                      <w:bCs/>
                      <w:lang w:val="en-US" w:eastAsia="zh-CN" w:bidi="ar-SA"/>
                    </w:rPr>
                  </w:pPr>
                  <w:r>
                    <w:rPr>
                      <w:rFonts w:hint="eastAsia"/>
                      <w:b/>
                      <w:bCs/>
                      <w:lang w:val="en-US" w:eastAsia="zh-CN" w:bidi="ar-SA"/>
                    </w:rPr>
                    <w:t>管控要求</w:t>
                  </w:r>
                </w:p>
              </w:tc>
              <w:tc>
                <w:tcPr>
                  <w:tcW w:w="1871" w:type="dxa"/>
                  <w:vAlign w:val="center"/>
                </w:tcPr>
                <w:p>
                  <w:pPr>
                    <w:pStyle w:val="39"/>
                    <w:bidi w:val="0"/>
                    <w:jc w:val="center"/>
                    <w:rPr>
                      <w:rFonts w:hint="eastAsia"/>
                      <w:b/>
                      <w:bCs/>
                      <w:lang w:val="en-US" w:eastAsia="zh-CN" w:bidi="ar-SA"/>
                    </w:rPr>
                  </w:pPr>
                  <w:r>
                    <w:rPr>
                      <w:rFonts w:hint="eastAsia"/>
                      <w:b/>
                      <w:bCs/>
                      <w:lang w:val="en-US" w:eastAsia="zh-CN" w:bidi="ar-SA"/>
                    </w:rPr>
                    <w:t>本项目情况</w:t>
                  </w:r>
                </w:p>
              </w:tc>
              <w:tc>
                <w:tcPr>
                  <w:tcW w:w="859" w:type="dxa"/>
                  <w:vAlign w:val="center"/>
                </w:tcPr>
                <w:p>
                  <w:pPr>
                    <w:pStyle w:val="39"/>
                    <w:bidi w:val="0"/>
                    <w:jc w:val="center"/>
                    <w:rPr>
                      <w:rFonts w:hint="default"/>
                      <w:b/>
                      <w:bCs/>
                      <w:lang w:val="en-US" w:eastAsia="zh-CN" w:bidi="ar-SA"/>
                    </w:rPr>
                  </w:pPr>
                  <w:r>
                    <w:rPr>
                      <w:rFonts w:hint="eastAsia"/>
                      <w:b/>
                      <w:bCs/>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restart"/>
                  <w:vAlign w:val="center"/>
                </w:tcPr>
                <w:p>
                  <w:pPr>
                    <w:pStyle w:val="39"/>
                    <w:bidi w:val="0"/>
                    <w:jc w:val="center"/>
                    <w:rPr>
                      <w:rFonts w:hint="eastAsia"/>
                      <w:lang w:val="en-US" w:eastAsia="zh-CN" w:bidi="ar-SA"/>
                    </w:rPr>
                  </w:pPr>
                  <w:r>
                    <w:rPr>
                      <w:rFonts w:hint="eastAsia"/>
                      <w:lang w:val="en-US" w:eastAsia="zh-CN" w:bidi="ar-SA"/>
                    </w:rPr>
                    <w:t>空间布局约束</w:t>
                  </w:r>
                </w:p>
              </w:tc>
              <w:tc>
                <w:tcPr>
                  <w:tcW w:w="3314" w:type="dxa"/>
                  <w:vAlign w:val="center"/>
                </w:tcPr>
                <w:p>
                  <w:pPr>
                    <w:pStyle w:val="39"/>
                    <w:bidi w:val="0"/>
                    <w:jc w:val="center"/>
                    <w:rPr>
                      <w:rFonts w:hint="eastAsia"/>
                      <w:lang w:val="en-US" w:eastAsia="zh-CN" w:bidi="ar-SA"/>
                    </w:rPr>
                  </w:pPr>
                  <w:r>
                    <w:rPr>
                      <w:rFonts w:hint="eastAsia"/>
                      <w:lang w:val="en-US" w:eastAsia="zh-CN" w:bidi="ar-SA"/>
                    </w:rPr>
                    <w:t>禁止侵占永久基本农田的生产经营活动</w:t>
                  </w:r>
                </w:p>
              </w:tc>
              <w:tc>
                <w:tcPr>
                  <w:tcW w:w="1871" w:type="dxa"/>
                  <w:vAlign w:val="center"/>
                </w:tcPr>
                <w:p>
                  <w:pPr>
                    <w:pStyle w:val="39"/>
                    <w:bidi w:val="0"/>
                    <w:jc w:val="center"/>
                    <w:rPr>
                      <w:rFonts w:hint="eastAsia"/>
                      <w:lang w:val="en-US" w:eastAsia="zh-CN" w:bidi="ar-SA"/>
                    </w:rPr>
                  </w:pPr>
                  <w:r>
                    <w:rPr>
                      <w:rFonts w:hint="eastAsia"/>
                      <w:lang w:val="en-US" w:eastAsia="zh-CN" w:bidi="ar-SA"/>
                    </w:rPr>
                    <w:t>项目不涉及永久基本农田</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continue"/>
                  <w:vAlign w:val="center"/>
                </w:tcPr>
                <w:p>
                  <w:pPr>
                    <w:pStyle w:val="39"/>
                    <w:bidi w:val="0"/>
                    <w:jc w:val="center"/>
                    <w:rPr>
                      <w:rFonts w:hint="eastAsia"/>
                      <w:lang w:val="en-US" w:eastAsia="zh-CN" w:bidi="ar-SA"/>
                    </w:rPr>
                  </w:pPr>
                </w:p>
              </w:tc>
              <w:tc>
                <w:tcPr>
                  <w:tcW w:w="3314" w:type="dxa"/>
                  <w:vAlign w:val="center"/>
                </w:tcPr>
                <w:p>
                  <w:pPr>
                    <w:pStyle w:val="39"/>
                    <w:bidi w:val="0"/>
                    <w:jc w:val="center"/>
                    <w:rPr>
                      <w:rFonts w:hint="eastAsia"/>
                      <w:lang w:val="en-US" w:eastAsia="zh-CN" w:bidi="ar-SA"/>
                    </w:rPr>
                  </w:pPr>
                  <w:r>
                    <w:rPr>
                      <w:rFonts w:hint="eastAsia"/>
                      <w:lang w:val="en-US" w:eastAsia="zh-CN" w:bidi="ar-SA"/>
                    </w:rPr>
                    <w:t>禁止在禁养区内新建、改建、扩建规模化畜禽养殖项目，现有项目限期关闭或搬迁</w:t>
                  </w:r>
                </w:p>
              </w:tc>
              <w:tc>
                <w:tcPr>
                  <w:tcW w:w="1871" w:type="dxa"/>
                  <w:vAlign w:val="center"/>
                </w:tcPr>
                <w:p>
                  <w:pPr>
                    <w:pStyle w:val="39"/>
                    <w:bidi w:val="0"/>
                    <w:jc w:val="center"/>
                    <w:rPr>
                      <w:rFonts w:hint="eastAsia"/>
                      <w:lang w:val="en-US" w:eastAsia="zh-CN" w:bidi="ar-SA"/>
                    </w:rPr>
                  </w:pPr>
                  <w:r>
                    <w:rPr>
                      <w:rFonts w:hint="eastAsia"/>
                      <w:lang w:val="en-US" w:eastAsia="zh-CN" w:bidi="ar-SA"/>
                    </w:rPr>
                    <w:t>本项目属于“C1499 其他未列明食品制造”行业，不属于规模化畜禽养殖项目</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continue"/>
                  <w:vAlign w:val="center"/>
                </w:tcPr>
                <w:p>
                  <w:pPr>
                    <w:pStyle w:val="39"/>
                    <w:bidi w:val="0"/>
                    <w:jc w:val="center"/>
                    <w:rPr>
                      <w:rFonts w:hint="eastAsia"/>
                      <w:lang w:val="en-US" w:eastAsia="zh-CN" w:bidi="ar-SA"/>
                    </w:rPr>
                  </w:pPr>
                </w:p>
              </w:tc>
              <w:tc>
                <w:tcPr>
                  <w:tcW w:w="3314" w:type="dxa"/>
                  <w:vAlign w:val="center"/>
                </w:tcPr>
                <w:p>
                  <w:pPr>
                    <w:pStyle w:val="39"/>
                    <w:bidi w:val="0"/>
                    <w:jc w:val="center"/>
                    <w:rPr>
                      <w:rFonts w:hint="eastAsia"/>
                      <w:lang w:val="en-US" w:eastAsia="zh-CN" w:bidi="ar-SA"/>
                    </w:rPr>
                  </w:pPr>
                  <w:r>
                    <w:rPr>
                      <w:rFonts w:hint="eastAsia"/>
                      <w:lang w:val="en-US" w:eastAsia="zh-CN" w:bidi="ar-SA"/>
                    </w:rPr>
                    <w:t>新建、改建、扩建工业项目，必须符合国家和自治区产业指导目录要求、行业技术标准以及规模、投资强度</w:t>
                  </w:r>
                </w:p>
              </w:tc>
              <w:tc>
                <w:tcPr>
                  <w:tcW w:w="1871" w:type="dxa"/>
                  <w:vAlign w:val="center"/>
                </w:tcPr>
                <w:p>
                  <w:pPr>
                    <w:pStyle w:val="39"/>
                    <w:bidi w:val="0"/>
                    <w:jc w:val="center"/>
                    <w:rPr>
                      <w:rFonts w:hint="eastAsia"/>
                      <w:lang w:val="en-US" w:eastAsia="zh-CN" w:bidi="ar-SA"/>
                    </w:rPr>
                  </w:pPr>
                  <w:r>
                    <w:rPr>
                      <w:rFonts w:hint="eastAsia"/>
                      <w:lang w:val="en-US" w:eastAsia="zh-CN" w:bidi="ar-SA"/>
                    </w:rPr>
                    <w:t>项目属于食品制造行业，对照《产业结构调整指导目录》（2019年本），</w:t>
                  </w:r>
                  <w:r>
                    <w:rPr>
                      <w:rFonts w:hint="eastAsia"/>
                      <w:color w:val="FF0000"/>
                      <w:highlight w:val="none"/>
                      <w:lang w:val="en-US" w:eastAsia="zh-CN" w:bidi="ar-SA"/>
                    </w:rPr>
                    <w:t>本项目不属于鼓励类、限制类和淘汰类项目</w:t>
                  </w:r>
                  <w:r>
                    <w:rPr>
                      <w:rFonts w:hint="eastAsia"/>
                      <w:lang w:val="en-US" w:eastAsia="zh-CN" w:bidi="ar-SA"/>
                    </w:rPr>
                    <w:t>，为允许类项目，且目前无行业技术标准及投资强度要求</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continue"/>
                  <w:vAlign w:val="center"/>
                </w:tcPr>
                <w:p>
                  <w:pPr>
                    <w:pStyle w:val="39"/>
                    <w:bidi w:val="0"/>
                    <w:jc w:val="center"/>
                    <w:rPr>
                      <w:rFonts w:hint="eastAsia"/>
                      <w:lang w:val="en-US" w:eastAsia="zh-CN" w:bidi="ar-SA"/>
                    </w:rPr>
                  </w:pPr>
                </w:p>
              </w:tc>
              <w:tc>
                <w:tcPr>
                  <w:tcW w:w="3314" w:type="dxa"/>
                  <w:vAlign w:val="center"/>
                </w:tcPr>
                <w:p>
                  <w:pPr>
                    <w:pStyle w:val="39"/>
                    <w:bidi w:val="0"/>
                    <w:jc w:val="center"/>
                    <w:rPr>
                      <w:rFonts w:hint="eastAsia"/>
                      <w:color w:val="auto"/>
                      <w:lang w:val="en-US" w:eastAsia="zh-CN" w:bidi="ar-SA"/>
                    </w:rPr>
                  </w:pPr>
                  <w:r>
                    <w:rPr>
                      <w:rFonts w:hint="eastAsia"/>
                      <w:color w:val="auto"/>
                      <w:lang w:val="en-US" w:eastAsia="zh-CN" w:bidi="ar-SA"/>
                    </w:rPr>
                    <w:t>大气环境高排放重点管控区内，应强化达标监管，有序推进区域内行业企业提标升级改造</w:t>
                  </w:r>
                </w:p>
              </w:tc>
              <w:tc>
                <w:tcPr>
                  <w:tcW w:w="1871" w:type="dxa"/>
                  <w:vAlign w:val="center"/>
                </w:tcPr>
                <w:p>
                  <w:pPr>
                    <w:pStyle w:val="39"/>
                    <w:bidi w:val="0"/>
                    <w:jc w:val="center"/>
                    <w:rPr>
                      <w:rFonts w:hint="eastAsia"/>
                      <w:color w:val="auto"/>
                      <w:lang w:val="en-US" w:eastAsia="zh-CN" w:bidi="ar-SA"/>
                    </w:rPr>
                  </w:pPr>
                  <w:r>
                    <w:rPr>
                      <w:rFonts w:hint="eastAsia"/>
                      <w:color w:val="auto"/>
                      <w:lang w:val="en-US" w:eastAsia="zh-CN" w:bidi="ar-SA"/>
                    </w:rPr>
                    <w:t>本项目位于大气环境一般管控区，且运营期废气主要为生物质燃料的燃烧废气，并配套建设布袋除尘器</w:t>
                  </w:r>
                  <w:r>
                    <w:rPr>
                      <w:rFonts w:hint="eastAsia"/>
                      <w:color w:val="auto"/>
                      <w:highlight w:val="none"/>
                      <w:lang w:val="en-US" w:eastAsia="zh-CN" w:bidi="ar-SA"/>
                    </w:rPr>
                    <w:t>对</w:t>
                  </w:r>
                  <w:r>
                    <w:rPr>
                      <w:rFonts w:hint="eastAsia"/>
                      <w:color w:val="FF0000"/>
                      <w:highlight w:val="none"/>
                      <w:lang w:val="en-US" w:eastAsia="zh-CN" w:bidi="ar-SA"/>
                    </w:rPr>
                    <w:t>燃烧废气</w:t>
                  </w:r>
                  <w:r>
                    <w:rPr>
                      <w:rFonts w:hint="eastAsia"/>
                      <w:color w:val="auto"/>
                      <w:highlight w:val="none"/>
                      <w:lang w:val="en-US" w:eastAsia="zh-CN" w:bidi="ar-SA"/>
                    </w:rPr>
                    <w:t>进行处理后</w:t>
                  </w:r>
                  <w:r>
                    <w:rPr>
                      <w:rFonts w:hint="eastAsia"/>
                      <w:color w:val="auto"/>
                      <w:lang w:val="en-US" w:eastAsia="zh-CN" w:bidi="ar-SA"/>
                    </w:rPr>
                    <w:t>达标排放</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continue"/>
                  <w:vAlign w:val="center"/>
                </w:tcPr>
                <w:p>
                  <w:pPr>
                    <w:pStyle w:val="39"/>
                    <w:bidi w:val="0"/>
                    <w:jc w:val="center"/>
                    <w:rPr>
                      <w:rFonts w:hint="eastAsia"/>
                      <w:lang w:val="en-US" w:eastAsia="zh-CN" w:bidi="ar-SA"/>
                    </w:rPr>
                  </w:pPr>
                </w:p>
              </w:tc>
              <w:tc>
                <w:tcPr>
                  <w:tcW w:w="3314" w:type="dxa"/>
                  <w:vAlign w:val="center"/>
                </w:tcPr>
                <w:p>
                  <w:pPr>
                    <w:pStyle w:val="39"/>
                    <w:bidi w:val="0"/>
                    <w:jc w:val="center"/>
                    <w:rPr>
                      <w:rFonts w:hint="eastAsia"/>
                      <w:lang w:val="en-US" w:eastAsia="zh-CN" w:bidi="ar-SA"/>
                    </w:rPr>
                  </w:pPr>
                  <w:r>
                    <w:rPr>
                      <w:rFonts w:hint="eastAsia"/>
                      <w:lang w:val="en-US" w:eastAsia="zh-CN" w:bidi="ar-SA"/>
                    </w:rPr>
                    <w:t>规范病死畜禽无害化处理。集中无害化处理体系健全的地区，在做好动物疫病防控的前提下，原则上养殖场户的病死畜禽应委托专业无害化处理场进行集中处理。山区、牧区、边远地区等暂时不具备集中处理条件的地区自行处理的，要配备与养殖规模相适应的无害化处理设施设备，严格按照相关技术规范进行处理，逐步减少深埋、化尸窖、堆肥等处理方式，确保有效杀灭病原体，清洁安全，不污染环境</w:t>
                  </w:r>
                </w:p>
              </w:tc>
              <w:tc>
                <w:tcPr>
                  <w:tcW w:w="1871" w:type="dxa"/>
                  <w:vAlign w:val="center"/>
                </w:tcPr>
                <w:p>
                  <w:pPr>
                    <w:pStyle w:val="39"/>
                    <w:bidi w:val="0"/>
                    <w:jc w:val="center"/>
                    <w:rPr>
                      <w:rFonts w:hint="eastAsia"/>
                      <w:lang w:val="en-US" w:eastAsia="zh-CN" w:bidi="ar-SA"/>
                    </w:rPr>
                  </w:pPr>
                  <w:r>
                    <w:rPr>
                      <w:rFonts w:hint="eastAsia"/>
                      <w:lang w:val="en-US" w:eastAsia="zh-CN" w:bidi="ar-SA"/>
                    </w:rPr>
                    <w:t>本项目属于“C1499 其他未列明食品制造”行业，不属于规模化养殖、病死，畜禽无害化处理等项目类别</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restart"/>
                  <w:vAlign w:val="center"/>
                </w:tcPr>
                <w:p>
                  <w:pPr>
                    <w:pStyle w:val="39"/>
                    <w:bidi w:val="0"/>
                    <w:jc w:val="center"/>
                    <w:rPr>
                      <w:rFonts w:hint="eastAsia"/>
                      <w:lang w:val="en-US" w:eastAsia="zh-CN" w:bidi="ar-SA"/>
                    </w:rPr>
                  </w:pPr>
                  <w:r>
                    <w:rPr>
                      <w:rFonts w:hint="eastAsia"/>
                      <w:lang w:val="en-US" w:eastAsia="zh-CN" w:bidi="ar-SA"/>
                    </w:rPr>
                    <w:t>污染物排放管控</w:t>
                  </w:r>
                </w:p>
              </w:tc>
              <w:tc>
                <w:tcPr>
                  <w:tcW w:w="3314" w:type="dxa"/>
                  <w:vAlign w:val="center"/>
                </w:tcPr>
                <w:p>
                  <w:pPr>
                    <w:pStyle w:val="39"/>
                    <w:bidi w:val="0"/>
                    <w:jc w:val="center"/>
                    <w:rPr>
                      <w:rFonts w:hint="eastAsia"/>
                      <w:lang w:val="en-US" w:eastAsia="zh-CN" w:bidi="ar-SA"/>
                    </w:rPr>
                  </w:pPr>
                  <w:r>
                    <w:rPr>
                      <w:rFonts w:hint="eastAsia"/>
                      <w:lang w:val="en-US" w:eastAsia="zh-CN" w:bidi="ar-SA"/>
                    </w:rPr>
                    <w:t>鼓励农民增施有机肥，减少化肥使用量，推广高效低毒低残留农药</w:t>
                  </w:r>
                </w:p>
              </w:tc>
              <w:tc>
                <w:tcPr>
                  <w:tcW w:w="1871" w:type="dxa"/>
                  <w:vAlign w:val="center"/>
                </w:tcPr>
                <w:p>
                  <w:pPr>
                    <w:pStyle w:val="39"/>
                    <w:bidi w:val="0"/>
                    <w:jc w:val="center"/>
                    <w:rPr>
                      <w:rFonts w:hint="eastAsia"/>
                      <w:lang w:val="en-US" w:eastAsia="zh-CN" w:bidi="ar-SA"/>
                    </w:rPr>
                  </w:pPr>
                  <w:r>
                    <w:rPr>
                      <w:rFonts w:hint="eastAsia"/>
                      <w:lang w:val="en-US" w:eastAsia="zh-CN" w:bidi="ar-SA"/>
                    </w:rPr>
                    <w:t>项目不涉及化肥、农药的使用</w:t>
                  </w:r>
                </w:p>
              </w:tc>
              <w:tc>
                <w:tcPr>
                  <w:tcW w:w="859" w:type="dxa"/>
                  <w:vAlign w:val="center"/>
                </w:tcPr>
                <w:p>
                  <w:pPr>
                    <w:pStyle w:val="39"/>
                    <w:bidi w:val="0"/>
                    <w:ind w:firstLine="0" w:firstLineChars="0"/>
                    <w:jc w:val="center"/>
                    <w:rPr>
                      <w:rFonts w:hint="eastAsia" w:ascii="Times New Roman" w:hAnsi="Times New Roman" w:eastAsia="宋体" w:cs="Times New Roman"/>
                      <w:sz w:val="21"/>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Merge w:val="continue"/>
                  <w:vAlign w:val="center"/>
                </w:tcPr>
                <w:p>
                  <w:pPr>
                    <w:pStyle w:val="39"/>
                    <w:bidi w:val="0"/>
                    <w:jc w:val="center"/>
                    <w:rPr>
                      <w:rFonts w:hint="eastAsia"/>
                      <w:lang w:val="en-US" w:eastAsia="zh-CN" w:bidi="ar-SA"/>
                    </w:rPr>
                  </w:pPr>
                </w:p>
              </w:tc>
              <w:tc>
                <w:tcPr>
                  <w:tcW w:w="3314" w:type="dxa"/>
                  <w:vAlign w:val="center"/>
                </w:tcPr>
                <w:p>
                  <w:pPr>
                    <w:pStyle w:val="39"/>
                    <w:bidi w:val="0"/>
                    <w:jc w:val="center"/>
                    <w:rPr>
                      <w:rFonts w:hint="eastAsia"/>
                      <w:lang w:val="en-US" w:eastAsia="zh-CN" w:bidi="ar-SA"/>
                    </w:rPr>
                  </w:pPr>
                  <w:r>
                    <w:rPr>
                      <w:rFonts w:hint="eastAsia"/>
                      <w:lang w:val="en-US" w:eastAsia="zh-CN" w:bidi="ar-SA"/>
                    </w:rPr>
                    <w:t>畜禽养殖粪项目污染物排放应满足《畜禽养殖业污染物排放标准》（GB18596-2001）</w:t>
                  </w:r>
                </w:p>
              </w:tc>
              <w:tc>
                <w:tcPr>
                  <w:tcW w:w="1871" w:type="dxa"/>
                  <w:vAlign w:val="center"/>
                </w:tcPr>
                <w:p>
                  <w:pPr>
                    <w:pStyle w:val="39"/>
                    <w:bidi w:val="0"/>
                    <w:jc w:val="center"/>
                    <w:rPr>
                      <w:rFonts w:hint="eastAsia"/>
                      <w:lang w:val="en-US" w:eastAsia="zh-CN" w:bidi="ar-SA"/>
                    </w:rPr>
                  </w:pPr>
                  <w:r>
                    <w:rPr>
                      <w:rFonts w:hint="eastAsia"/>
                      <w:lang w:val="en-US" w:eastAsia="zh-CN" w:bidi="ar-SA"/>
                    </w:rPr>
                    <w:t>项目不涉及畜禽养殖粪污排放等情形</w:t>
                  </w:r>
                </w:p>
              </w:tc>
              <w:tc>
                <w:tcPr>
                  <w:tcW w:w="859" w:type="dxa"/>
                  <w:vAlign w:val="center"/>
                </w:tcPr>
                <w:p>
                  <w:pPr>
                    <w:pStyle w:val="39"/>
                    <w:bidi w:val="0"/>
                    <w:ind w:firstLine="0" w:firstLineChars="0"/>
                    <w:jc w:val="center"/>
                    <w:rPr>
                      <w:rFonts w:hint="eastAsia" w:ascii="Times New Roman" w:hAnsi="Times New Roman" w:eastAsia="宋体" w:cs="Times New Roman"/>
                      <w:sz w:val="21"/>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Align w:val="center"/>
                </w:tcPr>
                <w:p>
                  <w:pPr>
                    <w:pStyle w:val="39"/>
                    <w:bidi w:val="0"/>
                    <w:jc w:val="center"/>
                    <w:rPr>
                      <w:rFonts w:hint="eastAsia"/>
                      <w:lang w:val="en-US" w:eastAsia="zh-CN" w:bidi="ar-SA"/>
                    </w:rPr>
                  </w:pPr>
                  <w:r>
                    <w:rPr>
                      <w:rFonts w:hint="eastAsia"/>
                      <w:lang w:val="en-US" w:eastAsia="zh-CN" w:bidi="ar-SA"/>
                    </w:rPr>
                    <w:t>环境风险防控</w:t>
                  </w:r>
                </w:p>
              </w:tc>
              <w:tc>
                <w:tcPr>
                  <w:tcW w:w="3314" w:type="dxa"/>
                  <w:vAlign w:val="center"/>
                </w:tcPr>
                <w:p>
                  <w:pPr>
                    <w:pStyle w:val="39"/>
                    <w:bidi w:val="0"/>
                    <w:jc w:val="center"/>
                    <w:rPr>
                      <w:rFonts w:hint="eastAsia"/>
                      <w:lang w:val="en-US" w:eastAsia="zh-CN" w:bidi="ar-SA"/>
                    </w:rPr>
                  </w:pPr>
                  <w:r>
                    <w:rPr>
                      <w:rFonts w:hint="eastAsia"/>
                      <w:lang w:val="en-US" w:eastAsia="zh-CN" w:bidi="ar-SA"/>
                    </w:rPr>
                    <w:t>严格环境风险控制，稳妥处置突发水环境污染事件。制定和完善水污染事故处置应急预案，落实责任主体，明确预警预报与响应程序、应急处置及保障措施等内容，依法及时公布预警信息</w:t>
                  </w:r>
                </w:p>
              </w:tc>
              <w:tc>
                <w:tcPr>
                  <w:tcW w:w="1871" w:type="dxa"/>
                  <w:vAlign w:val="center"/>
                </w:tcPr>
                <w:p>
                  <w:pPr>
                    <w:pStyle w:val="39"/>
                    <w:bidi w:val="0"/>
                    <w:jc w:val="center"/>
                    <w:rPr>
                      <w:rFonts w:hint="eastAsia"/>
                      <w:lang w:val="en-US" w:eastAsia="zh-CN" w:bidi="ar-SA"/>
                    </w:rPr>
                  </w:pPr>
                  <w:r>
                    <w:rPr>
                      <w:rFonts w:hint="eastAsia"/>
                      <w:lang w:val="en-US" w:eastAsia="zh-CN" w:bidi="ar-SA"/>
                    </w:rPr>
                    <w:t>项目不涉及风险物质</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0" w:type="dxa"/>
                  <w:vAlign w:val="center"/>
                </w:tcPr>
                <w:p>
                  <w:pPr>
                    <w:pStyle w:val="39"/>
                    <w:bidi w:val="0"/>
                    <w:jc w:val="center"/>
                    <w:rPr>
                      <w:rFonts w:hint="eastAsia"/>
                      <w:lang w:val="en-US" w:eastAsia="zh-CN" w:bidi="ar-SA"/>
                    </w:rPr>
                  </w:pPr>
                  <w:r>
                    <w:rPr>
                      <w:rFonts w:hint="eastAsia"/>
                      <w:lang w:val="en-US" w:eastAsia="zh-CN" w:bidi="ar-SA"/>
                    </w:rPr>
                    <w:t>资源利用效率要求</w:t>
                  </w:r>
                </w:p>
              </w:tc>
              <w:tc>
                <w:tcPr>
                  <w:tcW w:w="3314" w:type="dxa"/>
                  <w:vAlign w:val="center"/>
                </w:tcPr>
                <w:p>
                  <w:pPr>
                    <w:pStyle w:val="39"/>
                    <w:bidi w:val="0"/>
                    <w:jc w:val="center"/>
                    <w:rPr>
                      <w:rFonts w:hint="eastAsia"/>
                      <w:lang w:val="en-US" w:eastAsia="zh-CN" w:bidi="ar-SA"/>
                    </w:rPr>
                  </w:pPr>
                  <w:r>
                    <w:rPr>
                      <w:rFonts w:hint="eastAsia"/>
                      <w:lang w:val="en-US" w:eastAsia="zh-CN" w:bidi="ar-SA"/>
                    </w:rPr>
                    <w:t>严控地下水超采。禁止私自开采地下水。新建、改建、扩建的高耗水工业项目，禁止擅自使用地下水。食品、制药等项目取用地下水，须经有管理权限的水行政主管部门批准</w:t>
                  </w:r>
                </w:p>
              </w:tc>
              <w:tc>
                <w:tcPr>
                  <w:tcW w:w="1871" w:type="dxa"/>
                  <w:vAlign w:val="center"/>
                </w:tcPr>
                <w:p>
                  <w:pPr>
                    <w:pStyle w:val="39"/>
                    <w:bidi w:val="0"/>
                    <w:jc w:val="center"/>
                    <w:rPr>
                      <w:rFonts w:hint="default"/>
                      <w:lang w:val="en-US" w:eastAsia="zh-CN" w:bidi="ar-SA"/>
                    </w:rPr>
                  </w:pPr>
                  <w:r>
                    <w:rPr>
                      <w:rFonts w:hint="eastAsia"/>
                      <w:lang w:val="en-US" w:eastAsia="zh-CN" w:bidi="ar-SA"/>
                    </w:rPr>
                    <w:t>项目属于食品制造行业，生产、生活用水由市政供水管网供给</w:t>
                  </w:r>
                </w:p>
              </w:tc>
              <w:tc>
                <w:tcPr>
                  <w:tcW w:w="859" w:type="dxa"/>
                  <w:vAlign w:val="center"/>
                </w:tcPr>
                <w:p>
                  <w:pPr>
                    <w:pStyle w:val="39"/>
                    <w:bidi w:val="0"/>
                    <w:jc w:val="center"/>
                    <w:rPr>
                      <w:rFonts w:hint="default"/>
                      <w:lang w:val="en-US" w:eastAsia="zh-CN" w:bidi="ar-SA"/>
                    </w:rPr>
                  </w:pPr>
                  <w:r>
                    <w:rPr>
                      <w:rFonts w:hint="eastAsia"/>
                      <w:lang w:val="en-US" w:eastAsia="zh-CN" w:bidi="ar-SA"/>
                    </w:rPr>
                    <w:t>符合</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eastAsia" w:ascii="Times New Roman" w:hAnsi="Times New Roman" w:eastAsia="宋体" w:cs="Times New Roman"/>
                <w:b/>
                <w:bCs/>
                <w:sz w:val="24"/>
                <w:szCs w:val="24"/>
                <w:highlight w:val="none"/>
                <w:lang w:val="en-US" w:eastAsia="zh-CN"/>
              </w:rPr>
            </w:pPr>
            <w:r>
              <w:rPr>
                <w:rFonts w:hint="eastAsia" w:cs="Times New Roman"/>
                <w:lang w:val="en-US" w:eastAsia="zh-CN"/>
              </w:rPr>
              <w:t>综上，</w:t>
            </w:r>
            <w:r>
              <w:rPr>
                <w:rFonts w:hint="default" w:ascii="Times New Roman" w:hAnsi="Times New Roman" w:cs="Times New Roman"/>
                <w:color w:val="auto"/>
                <w:sz w:val="24"/>
                <w:szCs w:val="24"/>
              </w:rPr>
              <w:t>项目的建设符合“三线一单”要求。</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240" w:lineRule="auto"/>
              <w:ind w:right="0" w:rightChars="0"/>
              <w:jc w:val="both"/>
              <w:textAlignment w:val="auto"/>
              <w:outlineLvl w:val="9"/>
              <w:rPr>
                <w:rFonts w:hint="default"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3、选址合理性分析</w:t>
            </w:r>
          </w:p>
          <w:p>
            <w:pPr>
              <w:pStyle w:val="6"/>
              <w:ind w:firstLine="480"/>
              <w:rPr>
                <w:rFonts w:hint="default" w:eastAsia="宋体" w:cs="Times New Roman"/>
                <w:color w:val="FF0000"/>
                <w:highlight w:val="none"/>
                <w:lang w:val="en-US" w:eastAsia="zh-CN"/>
              </w:rPr>
            </w:pPr>
            <w:r>
              <w:rPr>
                <w:rFonts w:hint="eastAsia" w:eastAsia="宋体" w:cs="Times New Roman"/>
                <w:lang w:val="en-US" w:eastAsia="zh-CN"/>
              </w:rPr>
              <w:t>本</w:t>
            </w:r>
            <w:r>
              <w:rPr>
                <w:rFonts w:hint="default" w:eastAsia="宋体" w:cs="Times New Roman"/>
                <w:lang w:val="en-US" w:eastAsia="zh-CN"/>
              </w:rPr>
              <w:t>项目建设地点位于内蒙古自治区巴彦淖尔市五原县银定图镇丰乐移民新村，选址东侧</w:t>
            </w:r>
            <w:r>
              <w:rPr>
                <w:rFonts w:hint="eastAsia" w:cs="Times New Roman"/>
                <w:lang w:val="en-US" w:eastAsia="zh-CN"/>
              </w:rPr>
              <w:t>为公路，</w:t>
            </w:r>
            <w:r>
              <w:rPr>
                <w:rFonts w:hint="default" w:eastAsia="宋体" w:cs="Times New Roman"/>
                <w:lang w:val="en-US" w:eastAsia="zh-CN"/>
              </w:rPr>
              <w:t>隔路为</w:t>
            </w:r>
            <w:r>
              <w:rPr>
                <w:rFonts w:hint="eastAsia" w:cs="Times New Roman"/>
                <w:lang w:val="en-US" w:eastAsia="zh-CN"/>
              </w:rPr>
              <w:t>空置养殖场，南侧为蒙仓商贸农产品库房，西侧和北侧为耕地</w:t>
            </w:r>
            <w:r>
              <w:rPr>
                <w:rFonts w:hint="eastAsia"/>
                <w:lang w:eastAsia="zh-CN"/>
              </w:rPr>
              <w:t>，</w:t>
            </w:r>
            <w:r>
              <w:rPr>
                <w:rFonts w:hint="eastAsia"/>
                <w:color w:val="FF0000"/>
                <w:highlight w:val="none"/>
                <w:lang w:val="en-US" w:eastAsia="zh-CN" w:bidi="ar-SA"/>
              </w:rPr>
              <w:t>西北侧</w:t>
            </w:r>
            <w:r>
              <w:rPr>
                <w:rFonts w:hint="eastAsia" w:cs="Times New Roman"/>
                <w:color w:val="FF0000"/>
                <w:highlight w:val="none"/>
                <w:lang w:val="en-US" w:eastAsia="zh-CN"/>
              </w:rPr>
              <w:t>37</w:t>
            </w:r>
            <w:r>
              <w:rPr>
                <w:rFonts w:hint="default" w:eastAsia="宋体" w:cs="Times New Roman"/>
                <w:color w:val="FF0000"/>
                <w:highlight w:val="none"/>
                <w:lang w:val="en-US" w:eastAsia="zh-CN"/>
              </w:rPr>
              <w:t>m</w:t>
            </w:r>
            <w:r>
              <w:rPr>
                <w:rFonts w:hint="eastAsia" w:cs="Times New Roman"/>
                <w:color w:val="FF0000"/>
                <w:highlight w:val="none"/>
                <w:lang w:val="en-US" w:eastAsia="zh-CN"/>
              </w:rPr>
              <w:t>、</w:t>
            </w:r>
            <w:r>
              <w:rPr>
                <w:rFonts w:hint="eastAsia" w:eastAsia="宋体" w:cs="Times New Roman"/>
                <w:color w:val="FF0000"/>
                <w:highlight w:val="none"/>
                <w:lang w:val="en-US" w:eastAsia="zh-CN"/>
              </w:rPr>
              <w:t>西侧</w:t>
            </w:r>
            <w:r>
              <w:rPr>
                <w:rFonts w:hint="eastAsia" w:cs="Times New Roman"/>
                <w:color w:val="FF0000"/>
                <w:highlight w:val="none"/>
                <w:lang w:val="en-US" w:eastAsia="zh-CN"/>
              </w:rPr>
              <w:t>212</w:t>
            </w:r>
            <w:r>
              <w:rPr>
                <w:rFonts w:hint="default" w:eastAsia="宋体" w:cs="Times New Roman"/>
                <w:color w:val="FF0000"/>
                <w:highlight w:val="none"/>
                <w:lang w:val="en-US" w:eastAsia="zh-CN"/>
              </w:rPr>
              <w:t>m</w:t>
            </w:r>
            <w:r>
              <w:rPr>
                <w:rFonts w:hint="eastAsia" w:cs="Times New Roman"/>
                <w:color w:val="FF0000"/>
                <w:highlight w:val="none"/>
                <w:lang w:val="en-US" w:eastAsia="zh-CN"/>
              </w:rPr>
              <w:t>、东南侧378m、</w:t>
            </w:r>
            <w:r>
              <w:rPr>
                <w:rFonts w:hint="eastAsia"/>
                <w:color w:val="FF0000"/>
                <w:highlight w:val="none"/>
                <w:lang w:val="en-US" w:eastAsia="zh-CN" w:bidi="ar-SA"/>
              </w:rPr>
              <w:t>北侧</w:t>
            </w:r>
            <w:r>
              <w:rPr>
                <w:rFonts w:hint="eastAsia" w:cs="Times New Roman"/>
                <w:color w:val="FF0000"/>
                <w:highlight w:val="none"/>
                <w:lang w:val="en-US" w:eastAsia="zh-CN"/>
              </w:rPr>
              <w:t>400</w:t>
            </w:r>
            <w:r>
              <w:rPr>
                <w:rFonts w:hint="default" w:eastAsia="宋体" w:cs="Times New Roman"/>
                <w:color w:val="FF0000"/>
                <w:highlight w:val="none"/>
                <w:lang w:val="en-US" w:eastAsia="zh-CN"/>
              </w:rPr>
              <w:t>m</w:t>
            </w:r>
            <w:r>
              <w:rPr>
                <w:rFonts w:hint="eastAsia" w:eastAsia="宋体" w:cs="Times New Roman"/>
                <w:color w:val="FF0000"/>
                <w:highlight w:val="none"/>
                <w:lang w:val="en-US" w:eastAsia="zh-CN"/>
              </w:rPr>
              <w:t>处有</w:t>
            </w:r>
            <w:r>
              <w:rPr>
                <w:rFonts w:hint="eastAsia" w:cs="Times New Roman"/>
                <w:color w:val="FF0000"/>
                <w:highlight w:val="none"/>
                <w:lang w:val="en-US" w:eastAsia="zh-CN"/>
              </w:rPr>
              <w:t>居民居住</w:t>
            </w:r>
            <w:r>
              <w:rPr>
                <w:rFonts w:hint="default" w:eastAsia="宋体" w:cs="Times New Roman"/>
                <w:color w:val="FF0000"/>
                <w:highlight w:val="none"/>
                <w:lang w:val="en-US" w:eastAsia="zh-CN"/>
              </w:rPr>
              <w:t>。</w:t>
            </w:r>
          </w:p>
          <w:p>
            <w:pPr>
              <w:pStyle w:val="6"/>
              <w:ind w:firstLine="480"/>
              <w:rPr>
                <w:rFonts w:hint="default" w:eastAsia="宋体" w:cs="Times New Roman"/>
                <w:lang w:val="en-US" w:eastAsia="zh-CN"/>
              </w:rPr>
            </w:pPr>
            <w:r>
              <w:rPr>
                <w:rFonts w:hint="default" w:eastAsia="宋体" w:cs="Times New Roman"/>
                <w:color w:val="FF0000"/>
                <w:highlight w:val="none"/>
                <w:lang w:val="en-US" w:eastAsia="zh-CN"/>
              </w:rPr>
              <w:t>项目</w:t>
            </w:r>
            <w:r>
              <w:rPr>
                <w:rFonts w:hint="eastAsia" w:cs="Times New Roman"/>
                <w:color w:val="FF0000"/>
                <w:highlight w:val="none"/>
                <w:lang w:val="en-US" w:eastAsia="zh-CN"/>
              </w:rPr>
              <w:t>地位于丰乐移民新村常年主导风向下风向和附近敏感点居户的常年主导风向测风向，</w:t>
            </w:r>
            <w:r>
              <w:rPr>
                <w:rFonts w:hint="default" w:ascii="Times New Roman" w:hAnsi="Times New Roman" w:cs="Times New Roman"/>
                <w:color w:val="FF0000"/>
                <w:sz w:val="24"/>
                <w:szCs w:val="24"/>
                <w:highlight w:val="none"/>
                <w:lang w:val="en-US" w:eastAsia="zh-CN"/>
              </w:rPr>
              <w:t>距离</w:t>
            </w:r>
            <w:r>
              <w:rPr>
                <w:rFonts w:hint="eastAsia" w:ascii="Times New Roman" w:hAnsi="Times New Roman" w:cs="Times New Roman"/>
                <w:color w:val="FF0000"/>
                <w:sz w:val="24"/>
                <w:szCs w:val="24"/>
                <w:highlight w:val="none"/>
                <w:lang w:val="en-US" w:eastAsia="zh-CN"/>
              </w:rPr>
              <w:t>镇区</w:t>
            </w:r>
            <w:r>
              <w:rPr>
                <w:rFonts w:hint="default" w:ascii="Times New Roman" w:hAnsi="Times New Roman" w:cs="Times New Roman"/>
                <w:color w:val="FF0000"/>
                <w:sz w:val="24"/>
                <w:szCs w:val="24"/>
                <w:highlight w:val="none"/>
                <w:lang w:val="en-US" w:eastAsia="zh-CN"/>
              </w:rPr>
              <w:t>居民区较远</w:t>
            </w:r>
            <w:r>
              <w:rPr>
                <w:rFonts w:hint="eastAsia" w:ascii="Times New Roman" w:hAnsi="Times New Roman" w:cs="Times New Roman"/>
                <w:color w:val="FF0000"/>
                <w:sz w:val="24"/>
                <w:szCs w:val="24"/>
                <w:highlight w:val="none"/>
                <w:lang w:val="en-US" w:eastAsia="zh-CN"/>
              </w:rPr>
              <w:t>，</w:t>
            </w:r>
            <w:r>
              <w:rPr>
                <w:rFonts w:hint="default" w:eastAsia="宋体" w:cs="Times New Roman"/>
                <w:color w:val="FF0000"/>
                <w:highlight w:val="none"/>
                <w:lang w:val="en-US" w:eastAsia="zh-CN"/>
              </w:rPr>
              <w:t>周边500m范围内无自然保护区、水源地保护区、风景名胜区及其他需要特殊保护的区域，不在当地生态红线范围内</w:t>
            </w:r>
            <w:r>
              <w:rPr>
                <w:color w:val="FF0000"/>
                <w:sz w:val="24"/>
                <w:highlight w:val="none"/>
              </w:rPr>
              <w:t>，无重大的环境制约因素。</w:t>
            </w:r>
            <w:r>
              <w:rPr>
                <w:rFonts w:hint="default" w:ascii="Times New Roman" w:hAnsi="Times New Roman" w:eastAsia="宋体" w:cs="Times New Roman"/>
                <w:color w:val="FF0000"/>
                <w:sz w:val="24"/>
                <w:szCs w:val="24"/>
                <w:highlight w:val="none"/>
                <w:lang w:val="en-US" w:eastAsia="zh-CN"/>
              </w:rPr>
              <w:t>项目所在</w:t>
            </w:r>
            <w:r>
              <w:rPr>
                <w:rFonts w:hint="eastAsia" w:ascii="Times New Roman" w:hAnsi="Times New Roman" w:eastAsia="宋体" w:cs="Times New Roman"/>
                <w:color w:val="FF0000"/>
                <w:sz w:val="24"/>
                <w:szCs w:val="24"/>
                <w:highlight w:val="none"/>
                <w:lang w:val="en-US" w:eastAsia="zh-CN"/>
              </w:rPr>
              <w:t>地</w:t>
            </w:r>
            <w:r>
              <w:rPr>
                <w:rFonts w:hint="default" w:ascii="Times New Roman" w:hAnsi="Times New Roman" w:eastAsia="宋体" w:cs="Times New Roman"/>
                <w:color w:val="FF0000"/>
                <w:sz w:val="24"/>
                <w:szCs w:val="24"/>
                <w:highlight w:val="none"/>
                <w:lang w:val="en-US" w:eastAsia="zh-CN"/>
              </w:rPr>
              <w:t>基础设施条件完善</w:t>
            </w:r>
            <w:r>
              <w:rPr>
                <w:rFonts w:hint="eastAsia" w:ascii="Times New Roman" w:hAnsi="Times New Roman" w:eastAsia="宋体" w:cs="Times New Roman"/>
                <w:color w:val="FF0000"/>
                <w:sz w:val="24"/>
                <w:szCs w:val="24"/>
                <w:highlight w:val="none"/>
                <w:lang w:val="en-US" w:eastAsia="zh-CN"/>
              </w:rPr>
              <w:t>，</w:t>
            </w:r>
            <w:r>
              <w:rPr>
                <w:rFonts w:hint="default" w:eastAsia="宋体" w:cs="Times New Roman"/>
                <w:color w:val="FF0000"/>
                <w:highlight w:val="none"/>
                <w:lang w:val="en-US" w:eastAsia="zh-CN"/>
              </w:rPr>
              <w:t>项目总图布置合理，在采取本次评价提出的各项环保措施后，运营期废气、废水、噪声等均能实现的达标排放，固废</w:t>
            </w:r>
            <w:r>
              <w:rPr>
                <w:rFonts w:hint="eastAsia" w:cs="Times New Roman"/>
                <w:color w:val="FF0000"/>
                <w:highlight w:val="none"/>
                <w:lang w:val="en-US" w:eastAsia="zh-CN"/>
              </w:rPr>
              <w:t>均合理</w:t>
            </w:r>
            <w:r>
              <w:rPr>
                <w:rFonts w:hint="default" w:eastAsia="宋体" w:cs="Times New Roman"/>
                <w:color w:val="FF0000"/>
                <w:highlight w:val="none"/>
                <w:lang w:val="en-US" w:eastAsia="zh-CN"/>
              </w:rPr>
              <w:t>处置，对</w:t>
            </w:r>
            <w:r>
              <w:rPr>
                <w:rFonts w:hint="eastAsia" w:cs="Times New Roman"/>
                <w:color w:val="FF0000"/>
                <w:highlight w:val="none"/>
                <w:lang w:val="en-US" w:eastAsia="zh-CN"/>
              </w:rPr>
              <w:t>周围</w:t>
            </w:r>
            <w:r>
              <w:rPr>
                <w:rFonts w:hint="default" w:eastAsia="宋体" w:cs="Times New Roman"/>
                <w:color w:val="FF0000"/>
                <w:highlight w:val="none"/>
                <w:lang w:val="en-US" w:eastAsia="zh-CN"/>
              </w:rPr>
              <w:t>环境影响</w:t>
            </w:r>
            <w:r>
              <w:rPr>
                <w:rFonts w:hint="eastAsia" w:cs="Times New Roman"/>
                <w:color w:val="FF0000"/>
                <w:highlight w:val="none"/>
                <w:lang w:val="en-US" w:eastAsia="zh-CN"/>
              </w:rPr>
              <w:t>较小</w:t>
            </w:r>
            <w:r>
              <w:rPr>
                <w:rFonts w:hint="default" w:eastAsia="宋体" w:cs="Times New Roman"/>
                <w:color w:val="FF0000"/>
                <w:highlight w:val="none"/>
                <w:lang w:val="en-US" w:eastAsia="zh-CN"/>
              </w:rPr>
              <w:t>。</w:t>
            </w:r>
          </w:p>
          <w:p>
            <w:pPr>
              <w:pStyle w:val="6"/>
              <w:ind w:firstLine="480"/>
              <w:rPr>
                <w:rFonts w:hint="default"/>
                <w:lang w:val="en-US" w:eastAsia="zh-CN"/>
              </w:rPr>
            </w:pPr>
            <w:r>
              <w:rPr>
                <w:rFonts w:hint="default" w:eastAsia="宋体" w:cs="Times New Roman"/>
                <w:color w:val="FF0000"/>
                <w:lang w:val="en-US" w:eastAsia="zh-CN"/>
              </w:rPr>
              <w:t>综上所述，项目选址合理。</w:t>
            </w:r>
          </w:p>
        </w:tc>
      </w:tr>
    </w:tbl>
    <w:p>
      <w:pPr>
        <w:outlineLvl w:val="0"/>
        <w:rPr>
          <w:rFonts w:eastAsia="黑体"/>
          <w:color w:val="auto"/>
          <w:sz w:val="30"/>
        </w:rPr>
        <w:sectPr>
          <w:footerReference r:id="rId7" w:type="default"/>
          <w:pgSz w:w="11906" w:h="16838"/>
          <w:pgMar w:top="1440" w:right="1440" w:bottom="1440" w:left="1440" w:header="851" w:footer="1077" w:gutter="0"/>
          <w:pgNumType w:fmt="decimal" w:start="1"/>
          <w:cols w:space="720" w:num="1"/>
          <w:docGrid w:linePitch="312" w:charSpace="0"/>
        </w:sectPr>
      </w:pPr>
    </w:p>
    <w:p>
      <w:pPr>
        <w:pStyle w:val="20"/>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二、建设项目工程分析</w:t>
      </w:r>
    </w:p>
    <w:tbl>
      <w:tblPr>
        <w:tblStyle w:val="23"/>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0"/>
        <w:gridCol w:w="82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6" w:hRule="atLeast"/>
          <w:jc w:val="center"/>
        </w:trPr>
        <w:tc>
          <w:tcPr>
            <w:tcW w:w="830" w:type="dxa"/>
            <w:noWrap w:val="0"/>
            <w:vAlign w:val="center"/>
          </w:tcPr>
          <w:p>
            <w:pPr>
              <w:pStyle w:val="20"/>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建设内容</w:t>
            </w:r>
          </w:p>
        </w:tc>
        <w:tc>
          <w:tcPr>
            <w:tcW w:w="8241"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eastAsia="宋体"/>
                <w:b/>
                <w:bCs/>
                <w:color w:val="auto"/>
                <w:sz w:val="24"/>
                <w:lang w:val="en-US" w:eastAsia="zh-CN"/>
              </w:rPr>
            </w:pPr>
            <w:r>
              <w:rPr>
                <w:rFonts w:hint="eastAsia"/>
                <w:b/>
                <w:bCs/>
                <w:color w:val="auto"/>
                <w:sz w:val="24"/>
                <w:lang w:val="en-US" w:eastAsia="zh-CN"/>
              </w:rPr>
              <w:t>1、项目由来</w:t>
            </w:r>
          </w:p>
          <w:p>
            <w:pPr>
              <w:spacing w:line="360" w:lineRule="auto"/>
              <w:ind w:firstLine="480"/>
              <w:rPr>
                <w:rFonts w:hint="default" w:ascii="Times New Roman" w:hAnsi="Times New Roman" w:cs="Times New Roman"/>
                <w:color w:val="auto"/>
                <w:sz w:val="24"/>
                <w:lang w:val="en-US" w:eastAsia="zh-CN"/>
              </w:rPr>
            </w:pPr>
            <w:r>
              <w:rPr>
                <w:rFonts w:hint="eastAsia" w:ascii="Times New Roman" w:hAnsi="Times New Roman" w:cs="Times New Roman"/>
                <w:color w:val="auto"/>
                <w:sz w:val="24"/>
              </w:rPr>
              <w:t>近些年随着社会的不断进步，人们生活水平的不断提高，饮食结构的变化，人们对绿色食品的需求量不断增加。五原县银定图镇人民政府根据当地得天独厚的资源和市场条件，</w:t>
            </w:r>
            <w:r>
              <w:rPr>
                <w:rFonts w:hint="eastAsia" w:ascii="Times New Roman" w:hAnsi="Times New Roman" w:cs="Times New Roman"/>
                <w:color w:val="auto"/>
                <w:sz w:val="24"/>
                <w:lang w:val="en-US" w:eastAsia="zh-CN"/>
              </w:rPr>
              <w:t>拟在</w:t>
            </w:r>
            <w:r>
              <w:rPr>
                <w:rFonts w:hint="eastAsia"/>
                <w:color w:val="auto"/>
                <w:sz w:val="24"/>
              </w:rPr>
              <w:t>五原县银定图镇</w:t>
            </w:r>
            <w:r>
              <w:rPr>
                <w:rFonts w:hint="eastAsia"/>
                <w:color w:val="auto"/>
                <w:sz w:val="24"/>
                <w:lang w:val="en-US" w:eastAsia="zh-CN"/>
              </w:rPr>
              <w:t>镇区北、丰乐移民新村建设</w:t>
            </w:r>
            <w:r>
              <w:rPr>
                <w:rFonts w:hint="eastAsia"/>
                <w:color w:val="auto"/>
                <w:sz w:val="24"/>
              </w:rPr>
              <w:t>五原县银定图镇丰乐村蒙仓商贸农产品加工园区建设项目</w:t>
            </w:r>
            <w:r>
              <w:rPr>
                <w:rFonts w:hint="eastAsia"/>
                <w:color w:val="auto"/>
                <w:sz w:val="24"/>
                <w:lang w:eastAsia="zh-CN"/>
              </w:rPr>
              <w:t>。项目总占地面积5333.34m</w:t>
            </w:r>
            <w:r>
              <w:rPr>
                <w:rFonts w:hint="eastAsia"/>
                <w:color w:val="auto"/>
                <w:sz w:val="24"/>
                <w:vertAlign w:val="superscript"/>
                <w:lang w:eastAsia="zh-CN"/>
              </w:rPr>
              <w:t>2</w:t>
            </w:r>
            <w:r>
              <w:rPr>
                <w:rFonts w:hint="eastAsia"/>
                <w:color w:val="auto"/>
                <w:sz w:val="24"/>
                <w:lang w:eastAsia="zh-CN"/>
              </w:rPr>
              <w:t>，新建1栋加工车间，1栋原料仓库（内部建设1个农产品保鲜库），布置农副产品加工生产线2条。</w:t>
            </w:r>
            <w:r>
              <w:rPr>
                <w:rFonts w:hint="eastAsia"/>
                <w:color w:val="auto"/>
                <w:sz w:val="24"/>
                <w:lang w:val="en-US" w:eastAsia="zh-CN"/>
              </w:rPr>
              <w:t>项目建成后，年产原味瓜子2600t/a、多</w:t>
            </w:r>
            <w:r>
              <w:rPr>
                <w:rFonts w:hint="eastAsia" w:ascii="Times New Roman" w:hAnsi="Times New Roman" w:cs="Times New Roman"/>
                <w:color w:val="auto"/>
                <w:sz w:val="24"/>
                <w:lang w:val="en-US" w:eastAsia="zh-CN"/>
              </w:rPr>
              <w:t>味瓜子370t/a、精选辣椒1125t/a。</w:t>
            </w:r>
          </w:p>
          <w:p>
            <w:pPr>
              <w:spacing w:line="360" w:lineRule="auto"/>
              <w:ind w:firstLine="480"/>
              <w:rPr>
                <w:rFonts w:hint="eastAsia" w:ascii="Times New Roman" w:hAnsi="Times New Roman" w:cs="Times New Roman"/>
                <w:color w:val="auto"/>
                <w:sz w:val="24"/>
                <w:lang w:eastAsia="zh-CN"/>
              </w:rPr>
            </w:pPr>
            <w:r>
              <w:rPr>
                <w:rFonts w:hint="eastAsia" w:ascii="Times New Roman" w:hAnsi="Times New Roman" w:cs="Times New Roman"/>
                <w:color w:val="auto"/>
                <w:sz w:val="24"/>
                <w:lang w:val="en-US" w:eastAsia="zh-CN"/>
              </w:rPr>
              <w:t>根据《建设项目环境影响评价分类管理名录》（2021年版），确定本项目环评类别为“十一、食品制造业、24其他食品制造149、其他未列明食品制造”，</w:t>
            </w:r>
            <w:r>
              <w:rPr>
                <w:rFonts w:hint="eastAsia" w:ascii="Times New Roman" w:hAnsi="Times New Roman" w:cs="Times New Roman"/>
                <w:color w:val="auto"/>
                <w:sz w:val="24"/>
                <w:lang w:eastAsia="zh-CN"/>
              </w:rPr>
              <w:t>应当编制环境影响报告表。</w:t>
            </w:r>
          </w:p>
          <w:p>
            <w:pPr>
              <w:spacing w:line="360" w:lineRule="auto"/>
              <w:ind w:firstLine="480"/>
              <w:rPr>
                <w:rFonts w:hint="eastAsia"/>
                <w:color w:val="FF0000"/>
                <w:sz w:val="24"/>
              </w:rPr>
            </w:pPr>
            <w:r>
              <w:rPr>
                <w:rFonts w:hint="eastAsia" w:ascii="Times New Roman" w:hAnsi="Times New Roman" w:cs="Times New Roman"/>
                <w:color w:val="auto"/>
                <w:sz w:val="24"/>
                <w:lang w:eastAsia="zh-CN"/>
              </w:rPr>
              <w:t>受建设单位委托，我公司承担了本项目的环境影响评价工作（见附件1），接受委托后，我公司立即组织有关技术人员对项目所在地及周围环境现状进行了实地踏勘，收集相关资料，并在此基础上，依据国家法律法规和建设项目环境影响评价的相关规范、</w:t>
            </w:r>
            <w:r>
              <w:rPr>
                <w:rFonts w:hint="eastAsia" w:ascii="Times New Roman" w:hAnsi="Times New Roman" w:cs="Times New Roman"/>
                <w:color w:val="auto"/>
                <w:sz w:val="24"/>
                <w:lang w:val="en-US" w:eastAsia="zh-CN"/>
              </w:rPr>
              <w:t>指南</w:t>
            </w:r>
            <w:r>
              <w:rPr>
                <w:rFonts w:hint="eastAsia" w:ascii="Times New Roman" w:hAnsi="Times New Roman" w:cs="Times New Roman"/>
                <w:color w:val="auto"/>
                <w:sz w:val="24"/>
                <w:lang w:eastAsia="zh-CN"/>
              </w:rPr>
              <w:t>和标准，编制完成了本环境影响报告表。</w:t>
            </w:r>
          </w:p>
          <w:p>
            <w:pPr>
              <w:rPr>
                <w:color w:val="auto"/>
                <w:sz w:val="24"/>
              </w:rPr>
            </w:pPr>
            <w:r>
              <w:rPr>
                <w:rFonts w:hint="eastAsia"/>
                <w:b/>
                <w:bCs/>
                <w:color w:val="auto"/>
                <w:sz w:val="24"/>
              </w:rPr>
              <w:t>2、主要工程组成</w:t>
            </w:r>
          </w:p>
          <w:p>
            <w:pPr>
              <w:ind w:firstLine="480" w:firstLineChars="200"/>
              <w:rPr>
                <w:color w:val="auto"/>
                <w:sz w:val="24"/>
              </w:rPr>
            </w:pPr>
            <w:r>
              <w:rPr>
                <w:color w:val="auto"/>
                <w:sz w:val="24"/>
              </w:rPr>
              <w:t>本项目主要工程组成见表2-1。</w:t>
            </w:r>
          </w:p>
          <w:p>
            <w:pPr>
              <w:pStyle w:val="38"/>
              <w:spacing w:line="240" w:lineRule="auto"/>
              <w:rPr>
                <w:color w:val="auto"/>
                <w:sz w:val="24"/>
                <w:szCs w:val="24"/>
                <w:lang w:val="zh-CN"/>
              </w:rPr>
            </w:pPr>
            <w:r>
              <w:rPr>
                <w:color w:val="auto"/>
                <w:sz w:val="24"/>
                <w:szCs w:val="24"/>
                <w:lang w:val="zh-CN"/>
              </w:rPr>
              <w:t>表</w:t>
            </w:r>
            <w:r>
              <w:rPr>
                <w:color w:val="auto"/>
                <w:sz w:val="24"/>
                <w:szCs w:val="24"/>
              </w:rPr>
              <w:t>2-1</w:t>
            </w:r>
            <w:r>
              <w:rPr>
                <w:color w:val="auto"/>
                <w:sz w:val="24"/>
                <w:szCs w:val="24"/>
                <w:lang w:val="zh-CN"/>
              </w:rPr>
              <w:t xml:space="preserve"> 项目组成一览表</w:t>
            </w:r>
          </w:p>
          <w:tbl>
            <w:tblPr>
              <w:tblStyle w:val="23"/>
              <w:tblW w:w="81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124"/>
              <w:gridCol w:w="5547"/>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noWrap w:val="0"/>
                  <w:vAlign w:val="center"/>
                </w:tcPr>
                <w:p>
                  <w:pPr>
                    <w:adjustRightInd w:val="0"/>
                    <w:snapToGrid w:val="0"/>
                    <w:spacing w:line="240" w:lineRule="auto"/>
                    <w:jc w:val="center"/>
                    <w:rPr>
                      <w:b/>
                      <w:bCs/>
                      <w:color w:val="auto"/>
                      <w:szCs w:val="21"/>
                    </w:rPr>
                  </w:pPr>
                  <w:r>
                    <w:rPr>
                      <w:b/>
                      <w:bCs/>
                      <w:color w:val="auto"/>
                      <w:szCs w:val="21"/>
                    </w:rPr>
                    <w:t>项目组成</w:t>
                  </w:r>
                </w:p>
              </w:tc>
              <w:tc>
                <w:tcPr>
                  <w:tcW w:w="6671" w:type="dxa"/>
                  <w:gridSpan w:val="2"/>
                  <w:noWrap w:val="0"/>
                  <w:vAlign w:val="center"/>
                </w:tcPr>
                <w:p>
                  <w:pPr>
                    <w:adjustRightInd w:val="0"/>
                    <w:snapToGrid w:val="0"/>
                    <w:spacing w:line="240" w:lineRule="auto"/>
                    <w:jc w:val="center"/>
                    <w:rPr>
                      <w:b/>
                      <w:bCs/>
                      <w:color w:val="auto"/>
                      <w:szCs w:val="21"/>
                    </w:rPr>
                  </w:pPr>
                  <w:r>
                    <w:rPr>
                      <w:b/>
                      <w:bCs/>
                      <w:color w:val="auto"/>
                      <w:szCs w:val="21"/>
                    </w:rPr>
                    <w:t>主要建设内容</w:t>
                  </w:r>
                </w:p>
              </w:tc>
              <w:tc>
                <w:tcPr>
                  <w:tcW w:w="762" w:type="dxa"/>
                  <w:noWrap w:val="0"/>
                  <w:vAlign w:val="center"/>
                </w:tcPr>
                <w:p>
                  <w:pPr>
                    <w:adjustRightInd w:val="0"/>
                    <w:snapToGrid w:val="0"/>
                    <w:spacing w:line="240" w:lineRule="auto"/>
                    <w:jc w:val="center"/>
                    <w:rPr>
                      <w:b/>
                      <w:bCs/>
                      <w:color w:val="auto"/>
                      <w:szCs w:val="21"/>
                    </w:rPr>
                  </w:pPr>
                  <w:r>
                    <w:rPr>
                      <w:b/>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noWrap w:val="0"/>
                  <w:vAlign w:val="center"/>
                </w:tcPr>
                <w:p>
                  <w:pPr>
                    <w:spacing w:before="24" w:after="24" w:line="240" w:lineRule="auto"/>
                    <w:jc w:val="center"/>
                    <w:rPr>
                      <w:rFonts w:hint="eastAsia" w:ascii="Times New Roman"/>
                      <w:color w:val="auto"/>
                      <w:szCs w:val="21"/>
                    </w:rPr>
                  </w:pPr>
                  <w:r>
                    <w:rPr>
                      <w:rFonts w:hint="eastAsia" w:ascii="Times New Roman"/>
                      <w:color w:val="auto"/>
                      <w:szCs w:val="21"/>
                    </w:rPr>
                    <w:t>主体工程</w:t>
                  </w:r>
                </w:p>
              </w:tc>
              <w:tc>
                <w:tcPr>
                  <w:tcW w:w="1124" w:type="dxa"/>
                  <w:noWrap w:val="0"/>
                  <w:vAlign w:val="center"/>
                </w:tcPr>
                <w:p>
                  <w:pPr>
                    <w:spacing w:before="24" w:after="24" w:line="240" w:lineRule="auto"/>
                    <w:jc w:val="center"/>
                    <w:rPr>
                      <w:rFonts w:hint="eastAsia" w:ascii="Times New Roman"/>
                      <w:color w:val="auto"/>
                      <w:szCs w:val="21"/>
                    </w:rPr>
                  </w:pPr>
                  <w:r>
                    <w:rPr>
                      <w:rFonts w:hint="eastAsia" w:ascii="Times New Roman"/>
                      <w:color w:val="auto"/>
                      <w:szCs w:val="21"/>
                    </w:rPr>
                    <w:t>加工车间</w:t>
                  </w:r>
                </w:p>
              </w:tc>
              <w:tc>
                <w:tcPr>
                  <w:tcW w:w="5547" w:type="dxa"/>
                  <w:noWrap w:val="0"/>
                  <w:vAlign w:val="center"/>
                </w:tcPr>
                <w:p>
                  <w:pPr>
                    <w:spacing w:before="24" w:after="24" w:line="240" w:lineRule="auto"/>
                    <w:jc w:val="center"/>
                    <w:rPr>
                      <w:rFonts w:hint="default" w:ascii="Times New Roman" w:eastAsia="宋体"/>
                      <w:color w:val="auto"/>
                      <w:szCs w:val="21"/>
                      <w:lang w:val="en-US" w:eastAsia="zh-CN"/>
                    </w:rPr>
                  </w:pPr>
                  <w:r>
                    <w:rPr>
                      <w:rFonts w:hint="eastAsia" w:ascii="Times New Roman"/>
                      <w:color w:val="auto"/>
                      <w:szCs w:val="21"/>
                      <w:lang w:val="en-US" w:eastAsia="zh-CN"/>
                    </w:rPr>
                    <w:t>占地</w:t>
                  </w:r>
                  <w:r>
                    <w:rPr>
                      <w:rFonts w:hint="eastAsia"/>
                      <w:sz w:val="21"/>
                      <w:szCs w:val="21"/>
                      <w:lang w:val="en-US" w:eastAsia="zh-CN"/>
                    </w:rPr>
                    <w:t>1000m</w:t>
                  </w:r>
                  <w:r>
                    <w:rPr>
                      <w:rFonts w:hint="eastAsia"/>
                      <w:sz w:val="21"/>
                      <w:szCs w:val="21"/>
                      <w:vertAlign w:val="superscript"/>
                      <w:lang w:val="en-US" w:eastAsia="zh-CN"/>
                    </w:rPr>
                    <w:t>2</w:t>
                  </w:r>
                  <w:r>
                    <w:rPr>
                      <w:rFonts w:hint="eastAsia"/>
                      <w:sz w:val="21"/>
                      <w:szCs w:val="21"/>
                      <w:vertAlign w:val="baseline"/>
                      <w:lang w:val="en-US" w:eastAsia="zh-CN"/>
                    </w:rPr>
                    <w:t>，</w:t>
                  </w:r>
                  <w:r>
                    <w:rPr>
                      <w:sz w:val="21"/>
                      <w:szCs w:val="21"/>
                    </w:rPr>
                    <w:t>钢结构</w:t>
                  </w:r>
                  <w:r>
                    <w:rPr>
                      <w:rFonts w:hint="eastAsia" w:ascii="宋体" w:hAnsi="宋体" w:eastAsia="宋体" w:cs="宋体"/>
                      <w:sz w:val="21"/>
                      <w:szCs w:val="21"/>
                      <w:lang w:eastAsia="zh-CN"/>
                    </w:rPr>
                    <w:t>，</w:t>
                  </w:r>
                  <w:r>
                    <w:rPr>
                      <w:rFonts w:hint="eastAsia" w:ascii="宋体" w:hAnsi="宋体" w:cs="宋体"/>
                      <w:sz w:val="21"/>
                      <w:szCs w:val="21"/>
                      <w:lang w:val="en-US" w:eastAsia="zh-CN"/>
                    </w:rPr>
                    <w:t>布置1条葵花籽加工生产线，主要用于原味瓜子和多味瓜子生产；1条辣椒精选生产线，主要用于辣椒精选</w:t>
                  </w:r>
                </w:p>
              </w:tc>
              <w:tc>
                <w:tcPr>
                  <w:tcW w:w="762" w:type="dxa"/>
                  <w:noWrap w:val="0"/>
                  <w:vAlign w:val="center"/>
                </w:tcPr>
                <w:p>
                  <w:pPr>
                    <w:spacing w:line="240" w:lineRule="auto"/>
                    <w:jc w:val="center"/>
                    <w:rPr>
                      <w:rFonts w:hint="eastAsia" w:eastAsia="宋体"/>
                      <w:color w:val="auto"/>
                      <w:szCs w:val="21"/>
                      <w:lang w:val="en-US" w:eastAsia="zh-CN"/>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restart"/>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辅助工程</w:t>
                  </w: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办公室</w:t>
                  </w:r>
                </w:p>
              </w:tc>
              <w:tc>
                <w:tcPr>
                  <w:tcW w:w="5547" w:type="dxa"/>
                  <w:noWrap w:val="0"/>
                  <w:vAlign w:val="center"/>
                </w:tcPr>
                <w:p>
                  <w:pPr>
                    <w:spacing w:before="24" w:after="24" w:line="240" w:lineRule="auto"/>
                    <w:jc w:val="center"/>
                    <w:rPr>
                      <w:rFonts w:hint="default" w:ascii="Times New Roman" w:hAnsi="Times New Roman" w:eastAsia="宋体" w:cs="Times New Roman"/>
                      <w:color w:val="auto"/>
                      <w:szCs w:val="21"/>
                      <w:lang w:val="en-US" w:eastAsia="zh-CN"/>
                    </w:rPr>
                  </w:pPr>
                  <w:r>
                    <w:rPr>
                      <w:rFonts w:hint="eastAsia" w:ascii="Times New Roman"/>
                      <w:color w:val="auto"/>
                      <w:szCs w:val="21"/>
                      <w:lang w:val="en-US" w:eastAsia="zh-CN"/>
                    </w:rPr>
                    <w:t>占地</w:t>
                  </w:r>
                  <w:r>
                    <w:rPr>
                      <w:rFonts w:hint="eastAsia"/>
                      <w:sz w:val="21"/>
                      <w:szCs w:val="21"/>
                      <w:lang w:val="en-US" w:eastAsia="zh-CN"/>
                    </w:rPr>
                    <w:t>140m</w:t>
                  </w:r>
                  <w:r>
                    <w:rPr>
                      <w:rFonts w:hint="eastAsia"/>
                      <w:sz w:val="21"/>
                      <w:szCs w:val="21"/>
                      <w:vertAlign w:val="superscript"/>
                      <w:lang w:val="en-US" w:eastAsia="zh-CN"/>
                    </w:rPr>
                    <w:t>2</w:t>
                  </w:r>
                  <w:r>
                    <w:rPr>
                      <w:rFonts w:hint="eastAsia"/>
                      <w:sz w:val="21"/>
                      <w:szCs w:val="21"/>
                      <w:vertAlign w:val="baseline"/>
                      <w:lang w:val="en-US" w:eastAsia="zh-CN"/>
                    </w:rPr>
                    <w:t>，一层，砖瓦结构</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配料</w:t>
                  </w:r>
                  <w:r>
                    <w:rPr>
                      <w:rFonts w:hint="eastAsia" w:cs="Times New Roman"/>
                      <w:color w:val="auto"/>
                      <w:sz w:val="21"/>
                      <w:szCs w:val="21"/>
                      <w:highlight w:val="none"/>
                      <w:lang w:val="en-US" w:eastAsia="zh-CN"/>
                    </w:rPr>
                    <w:t>室</w:t>
                  </w:r>
                </w:p>
              </w:tc>
              <w:tc>
                <w:tcPr>
                  <w:tcW w:w="554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位于</w:t>
                  </w:r>
                  <w:r>
                    <w:rPr>
                      <w:rFonts w:hint="eastAsia" w:cs="Times New Roman"/>
                      <w:color w:val="auto"/>
                      <w:sz w:val="21"/>
                      <w:szCs w:val="21"/>
                      <w:highlight w:val="none"/>
                      <w:lang w:val="en-US" w:eastAsia="zh-CN"/>
                    </w:rPr>
                    <w:t>加工车间</w:t>
                  </w:r>
                  <w:r>
                    <w:rPr>
                      <w:rFonts w:hint="default" w:ascii="Times New Roman" w:hAnsi="Times New Roman" w:eastAsia="宋体" w:cs="Times New Roman"/>
                      <w:color w:val="auto"/>
                      <w:sz w:val="21"/>
                      <w:szCs w:val="21"/>
                      <w:highlight w:val="none"/>
                      <w:lang w:eastAsia="zh-CN"/>
                    </w:rPr>
                    <w:t>内</w:t>
                  </w:r>
                  <w:r>
                    <w:rPr>
                      <w:rFonts w:hint="default" w:ascii="Times New Roman" w:hAnsi="Times New Roman" w:eastAsia="宋体" w:cs="Times New Roman"/>
                      <w:color w:val="auto"/>
                      <w:sz w:val="21"/>
                      <w:szCs w:val="21"/>
                      <w:highlight w:val="none"/>
                      <w:lang w:val="en-US" w:eastAsia="zh-CN"/>
                    </w:rPr>
                    <w:t>，主要用于多味瓜子调料配置</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实验室</w:t>
                  </w:r>
                </w:p>
              </w:tc>
              <w:tc>
                <w:tcPr>
                  <w:tcW w:w="554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位于</w:t>
                  </w:r>
                  <w:r>
                    <w:rPr>
                      <w:rFonts w:hint="eastAsia" w:cs="Times New Roman"/>
                      <w:color w:val="auto"/>
                      <w:sz w:val="21"/>
                      <w:szCs w:val="21"/>
                      <w:highlight w:val="none"/>
                      <w:lang w:val="en-US" w:eastAsia="zh-CN"/>
                    </w:rPr>
                    <w:t>加工车间</w:t>
                  </w:r>
                  <w:r>
                    <w:rPr>
                      <w:rFonts w:hint="default" w:ascii="Times New Roman" w:hAnsi="Times New Roman" w:eastAsia="宋体" w:cs="Times New Roman"/>
                      <w:color w:val="auto"/>
                      <w:sz w:val="21"/>
                      <w:szCs w:val="21"/>
                      <w:highlight w:val="none"/>
                      <w:lang w:eastAsia="zh-CN"/>
                    </w:rPr>
                    <w:t>内</w:t>
                  </w:r>
                  <w:r>
                    <w:rPr>
                      <w:rFonts w:hint="default" w:ascii="Times New Roman" w:hAnsi="Times New Roman" w:eastAsia="宋体" w:cs="Times New Roman"/>
                      <w:color w:val="auto"/>
                      <w:sz w:val="21"/>
                      <w:szCs w:val="21"/>
                      <w:highlight w:val="none"/>
                      <w:lang w:val="en-US" w:eastAsia="zh-CN"/>
                    </w:rPr>
                    <w:t>，主要用于</w:t>
                  </w:r>
                  <w:r>
                    <w:rPr>
                      <w:rFonts w:hint="eastAsia" w:cs="Times New Roman"/>
                      <w:color w:val="auto"/>
                      <w:sz w:val="21"/>
                      <w:szCs w:val="21"/>
                      <w:highlight w:val="none"/>
                      <w:lang w:val="en-US" w:eastAsia="zh-CN"/>
                    </w:rPr>
                    <w:t>食品合格检验</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包装间</w:t>
                  </w:r>
                </w:p>
              </w:tc>
              <w:tc>
                <w:tcPr>
                  <w:tcW w:w="554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位于</w:t>
                  </w:r>
                  <w:r>
                    <w:rPr>
                      <w:rFonts w:hint="eastAsia" w:cs="Times New Roman"/>
                      <w:color w:val="auto"/>
                      <w:sz w:val="21"/>
                      <w:szCs w:val="21"/>
                      <w:highlight w:val="none"/>
                      <w:lang w:val="en-US" w:eastAsia="zh-CN"/>
                    </w:rPr>
                    <w:t>加工车间</w:t>
                  </w:r>
                  <w:r>
                    <w:rPr>
                      <w:rFonts w:hint="default" w:ascii="Times New Roman" w:hAnsi="Times New Roman" w:eastAsia="宋体" w:cs="Times New Roman"/>
                      <w:color w:val="auto"/>
                      <w:sz w:val="21"/>
                      <w:szCs w:val="21"/>
                      <w:highlight w:val="none"/>
                      <w:lang w:eastAsia="zh-CN"/>
                    </w:rPr>
                    <w:t>内</w:t>
                  </w:r>
                  <w:r>
                    <w:rPr>
                      <w:rFonts w:hint="default" w:ascii="Times New Roman" w:hAnsi="Times New Roman" w:eastAsia="宋体" w:cs="Times New Roman"/>
                      <w:color w:val="auto"/>
                      <w:sz w:val="21"/>
                      <w:szCs w:val="21"/>
                      <w:highlight w:val="none"/>
                      <w:lang w:val="en-US" w:eastAsia="zh-CN"/>
                    </w:rPr>
                    <w:t>，主要用于</w:t>
                  </w:r>
                  <w:r>
                    <w:rPr>
                      <w:rFonts w:hint="eastAsia" w:cs="Times New Roman"/>
                      <w:color w:val="auto"/>
                      <w:sz w:val="21"/>
                      <w:szCs w:val="21"/>
                      <w:highlight w:val="none"/>
                      <w:lang w:val="en-US" w:eastAsia="zh-CN"/>
                    </w:rPr>
                    <w:t>产品包装</w:t>
                  </w:r>
                </w:p>
              </w:tc>
              <w:tc>
                <w:tcPr>
                  <w:tcW w:w="762" w:type="dxa"/>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restart"/>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储运工程</w:t>
                  </w:r>
                </w:p>
              </w:tc>
              <w:tc>
                <w:tcPr>
                  <w:tcW w:w="1124" w:type="dxa"/>
                  <w:noWrap w:val="0"/>
                  <w:vAlign w:val="center"/>
                </w:tcPr>
                <w:p>
                  <w:pPr>
                    <w:spacing w:before="24" w:after="24" w:line="240"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原料仓库</w:t>
                  </w:r>
                </w:p>
              </w:tc>
              <w:tc>
                <w:tcPr>
                  <w:tcW w:w="5547" w:type="dxa"/>
                  <w:noWrap w:val="0"/>
                  <w:vAlign w:val="center"/>
                </w:tcPr>
                <w:p>
                  <w:pPr>
                    <w:spacing w:before="24" w:after="24" w:line="240" w:lineRule="auto"/>
                    <w:jc w:val="center"/>
                    <w:rPr>
                      <w:rFonts w:hint="default" w:ascii="Times New Roman" w:hAnsi="Times New Roman" w:eastAsia="宋体" w:cs="Times New Roman"/>
                      <w:color w:val="auto"/>
                      <w:szCs w:val="21"/>
                      <w:vertAlign w:val="baseline"/>
                      <w:lang w:val="en-US" w:eastAsia="zh-CN"/>
                    </w:rPr>
                  </w:pPr>
                  <w:r>
                    <w:rPr>
                      <w:rFonts w:hint="eastAsia" w:ascii="Times New Roman"/>
                      <w:color w:val="auto"/>
                      <w:szCs w:val="21"/>
                      <w:lang w:val="en-US" w:eastAsia="zh-CN"/>
                    </w:rPr>
                    <w:t>占地</w:t>
                  </w:r>
                  <w:r>
                    <w:rPr>
                      <w:rFonts w:hint="eastAsia"/>
                      <w:sz w:val="21"/>
                      <w:szCs w:val="21"/>
                      <w:lang w:val="en-US" w:eastAsia="zh-CN"/>
                    </w:rPr>
                    <w:t>1200m</w:t>
                  </w:r>
                  <w:r>
                    <w:rPr>
                      <w:rFonts w:hint="eastAsia"/>
                      <w:sz w:val="21"/>
                      <w:szCs w:val="21"/>
                      <w:vertAlign w:val="superscript"/>
                      <w:lang w:val="en-US" w:eastAsia="zh-CN"/>
                    </w:rPr>
                    <w:t>2</w:t>
                  </w:r>
                  <w:r>
                    <w:rPr>
                      <w:rFonts w:hint="eastAsia"/>
                      <w:sz w:val="21"/>
                      <w:szCs w:val="21"/>
                      <w:vertAlign w:val="baseline"/>
                      <w:lang w:val="en-US" w:eastAsia="zh-CN"/>
                    </w:rPr>
                    <w:t>，</w:t>
                  </w:r>
                  <w:r>
                    <w:rPr>
                      <w:rFonts w:hint="default" w:ascii="Times New Roman" w:hAnsi="Times New Roman" w:eastAsia="宋体" w:cs="Times New Roman"/>
                      <w:color w:val="auto"/>
                      <w:sz w:val="21"/>
                      <w:szCs w:val="21"/>
                      <w:highlight w:val="none"/>
                      <w:lang w:val="en-US" w:eastAsia="zh-CN"/>
                    </w:rPr>
                    <w:t>主要</w:t>
                  </w:r>
                  <w:r>
                    <w:rPr>
                      <w:rFonts w:hint="eastAsia"/>
                      <w:sz w:val="21"/>
                      <w:szCs w:val="21"/>
                      <w:vertAlign w:val="baseline"/>
                      <w:lang w:val="en-US" w:eastAsia="zh-CN"/>
                    </w:rPr>
                    <w:t>用于</w:t>
                  </w:r>
                  <w:r>
                    <w:rPr>
                      <w:rFonts w:hint="eastAsia" w:cs="Times New Roman"/>
                      <w:color w:val="auto"/>
                      <w:szCs w:val="21"/>
                      <w:lang w:val="en-US" w:eastAsia="zh-CN"/>
                    </w:rPr>
                    <w:t>葵花籽和辣椒原料储存</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保鲜库</w:t>
                  </w:r>
                </w:p>
              </w:tc>
              <w:tc>
                <w:tcPr>
                  <w:tcW w:w="5547" w:type="dxa"/>
                  <w:noWrap w:val="0"/>
                  <w:vAlign w:val="center"/>
                </w:tcPr>
                <w:p>
                  <w:pPr>
                    <w:spacing w:before="24" w:after="24" w:line="240" w:lineRule="auto"/>
                    <w:jc w:val="center"/>
                    <w:rPr>
                      <w:rFonts w:hint="default" w:ascii="Times New Roman" w:hAnsi="Times New Roman" w:eastAsia="宋体" w:cs="Times New Roman"/>
                      <w:color w:val="auto"/>
                      <w:szCs w:val="21"/>
                      <w:vertAlign w:val="baseline"/>
                      <w:lang w:val="en-US" w:eastAsia="zh-CN"/>
                    </w:rPr>
                  </w:pPr>
                  <w:r>
                    <w:rPr>
                      <w:rFonts w:hint="eastAsia" w:ascii="Times New Roman"/>
                      <w:color w:val="auto"/>
                      <w:szCs w:val="21"/>
                      <w:lang w:val="en-US" w:eastAsia="zh-CN"/>
                    </w:rPr>
                    <w:t>占地</w:t>
                  </w:r>
                  <w:r>
                    <w:rPr>
                      <w:rFonts w:hint="eastAsia"/>
                      <w:sz w:val="21"/>
                      <w:szCs w:val="21"/>
                      <w:lang w:val="en-US" w:eastAsia="zh-CN"/>
                    </w:rPr>
                    <w:t>300m</w:t>
                  </w:r>
                  <w:r>
                    <w:rPr>
                      <w:rFonts w:hint="eastAsia"/>
                      <w:sz w:val="21"/>
                      <w:szCs w:val="21"/>
                      <w:vertAlign w:val="superscript"/>
                      <w:lang w:val="en-US" w:eastAsia="zh-CN"/>
                    </w:rPr>
                    <w:t>2</w:t>
                  </w:r>
                  <w:r>
                    <w:rPr>
                      <w:rFonts w:hint="eastAsia"/>
                      <w:sz w:val="21"/>
                      <w:szCs w:val="21"/>
                      <w:vertAlign w:val="baseline"/>
                      <w:lang w:val="en-US" w:eastAsia="zh-CN"/>
                    </w:rPr>
                    <w:t>，</w:t>
                  </w:r>
                  <w:r>
                    <w:rPr>
                      <w:rFonts w:hint="default" w:ascii="Times New Roman" w:hAnsi="Times New Roman" w:eastAsia="宋体" w:cs="Times New Roman"/>
                      <w:color w:val="auto"/>
                      <w:sz w:val="21"/>
                      <w:szCs w:val="21"/>
                      <w:highlight w:val="none"/>
                      <w:lang w:val="en-US" w:eastAsia="zh-CN"/>
                    </w:rPr>
                    <w:t>主要</w:t>
                  </w:r>
                  <w:r>
                    <w:rPr>
                      <w:rFonts w:hint="eastAsia"/>
                      <w:sz w:val="21"/>
                      <w:szCs w:val="21"/>
                      <w:vertAlign w:val="baseline"/>
                      <w:lang w:val="en-US" w:eastAsia="zh-CN"/>
                    </w:rPr>
                    <w:t>用于</w:t>
                  </w:r>
                  <w:r>
                    <w:rPr>
                      <w:rFonts w:hint="eastAsia" w:cs="Times New Roman"/>
                      <w:color w:val="auto"/>
                      <w:szCs w:val="21"/>
                      <w:lang w:val="en-US" w:eastAsia="zh-CN"/>
                    </w:rPr>
                    <w:t>葵花籽和辣椒原料储存</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香料库</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eastAsia="zh-CN"/>
                    </w:rPr>
                    <w:t>位于</w:t>
                  </w:r>
                  <w:r>
                    <w:rPr>
                      <w:rFonts w:hint="eastAsia" w:cs="Times New Roman"/>
                      <w:color w:val="auto"/>
                      <w:sz w:val="21"/>
                      <w:szCs w:val="21"/>
                      <w:highlight w:val="none"/>
                      <w:lang w:val="en-US" w:eastAsia="zh-CN"/>
                    </w:rPr>
                    <w:t>加工车间</w:t>
                  </w:r>
                  <w:r>
                    <w:rPr>
                      <w:rFonts w:hint="default" w:ascii="Times New Roman" w:hAnsi="Times New Roman" w:eastAsia="宋体" w:cs="Times New Roman"/>
                      <w:color w:val="auto"/>
                      <w:sz w:val="21"/>
                      <w:szCs w:val="21"/>
                      <w:highlight w:val="none"/>
                      <w:lang w:eastAsia="zh-CN"/>
                    </w:rPr>
                    <w:t>内</w:t>
                  </w:r>
                  <w:r>
                    <w:rPr>
                      <w:rFonts w:hint="default" w:ascii="Times New Roman" w:hAnsi="Times New Roman" w:eastAsia="宋体" w:cs="Times New Roman"/>
                      <w:color w:val="auto"/>
                      <w:sz w:val="21"/>
                      <w:szCs w:val="21"/>
                      <w:highlight w:val="none"/>
                      <w:lang w:val="en-US" w:eastAsia="zh-CN"/>
                    </w:rPr>
                    <w:t>，主要用于盐、八角、桂皮、花椒等调料存储</w:t>
                  </w:r>
                </w:p>
              </w:tc>
              <w:tc>
                <w:tcPr>
                  <w:tcW w:w="762" w:type="dxa"/>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default" w:cs="Times New Roman"/>
                      <w:color w:val="auto"/>
                      <w:szCs w:val="21"/>
                      <w:lang w:val="en-US" w:eastAsia="zh-CN"/>
                    </w:rPr>
                  </w:pPr>
                  <w:r>
                    <w:rPr>
                      <w:rFonts w:hint="eastAsia" w:cs="Times New Roman"/>
                      <w:color w:val="auto"/>
                      <w:szCs w:val="21"/>
                      <w:lang w:val="en-US" w:eastAsia="zh-CN"/>
                    </w:rPr>
                    <w:t>成品库</w:t>
                  </w:r>
                </w:p>
              </w:tc>
              <w:tc>
                <w:tcPr>
                  <w:tcW w:w="5547" w:type="dxa"/>
                  <w:noWrap w:val="0"/>
                  <w:vAlign w:val="center"/>
                </w:tcPr>
                <w:p>
                  <w:pPr>
                    <w:spacing w:before="24" w:after="24"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位于</w:t>
                  </w:r>
                  <w:r>
                    <w:rPr>
                      <w:rFonts w:hint="eastAsia" w:cs="Times New Roman"/>
                      <w:color w:val="auto"/>
                      <w:sz w:val="21"/>
                      <w:szCs w:val="21"/>
                      <w:highlight w:val="none"/>
                      <w:lang w:val="en-US" w:eastAsia="zh-CN"/>
                    </w:rPr>
                    <w:t>加工车间</w:t>
                  </w:r>
                  <w:r>
                    <w:rPr>
                      <w:rFonts w:hint="default" w:ascii="Times New Roman" w:hAnsi="Times New Roman" w:eastAsia="宋体" w:cs="Times New Roman"/>
                      <w:color w:val="auto"/>
                      <w:sz w:val="21"/>
                      <w:szCs w:val="21"/>
                      <w:highlight w:val="none"/>
                      <w:lang w:eastAsia="zh-CN"/>
                    </w:rPr>
                    <w:t>内</w:t>
                  </w:r>
                  <w:r>
                    <w:rPr>
                      <w:rFonts w:hint="default" w:ascii="Times New Roman" w:hAnsi="Times New Roman" w:eastAsia="宋体" w:cs="Times New Roman"/>
                      <w:color w:val="auto"/>
                      <w:sz w:val="21"/>
                      <w:szCs w:val="21"/>
                      <w:highlight w:val="none"/>
                      <w:lang w:val="en-US" w:eastAsia="zh-CN"/>
                    </w:rPr>
                    <w:t>，主要用于包装完成后产品储存</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restart"/>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公用工程</w:t>
                  </w: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供水</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采用市政自来水供水系统供水</w:t>
                  </w:r>
                  <w:r>
                    <w:rPr>
                      <w:rFonts w:hint="eastAsia" w:cs="Times New Roman"/>
                      <w:color w:val="auto"/>
                      <w:szCs w:val="21"/>
                      <w:lang w:val="en-US" w:eastAsia="zh-CN"/>
                    </w:rPr>
                    <w:t>，</w:t>
                  </w:r>
                  <w:r>
                    <w:rPr>
                      <w:rFonts w:hint="eastAsia" w:cs="Times New Roman"/>
                      <w:color w:val="auto"/>
                      <w:szCs w:val="21"/>
                      <w:highlight w:val="none"/>
                      <w:lang w:val="en-US" w:eastAsia="zh-CN"/>
                    </w:rPr>
                    <w:t>用水量为342m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/a</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排水</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本项目无生产废水排放；</w:t>
                  </w:r>
                </w:p>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生活污水</w:t>
                  </w:r>
                  <w:r>
                    <w:rPr>
                      <w:rFonts w:hint="eastAsia" w:cs="Times New Roman"/>
                      <w:color w:val="auto"/>
                      <w:szCs w:val="21"/>
                      <w:lang w:val="en-US" w:eastAsia="zh-CN"/>
                    </w:rPr>
                    <w:t>经</w:t>
                  </w:r>
                  <w:r>
                    <w:rPr>
                      <w:rFonts w:hint="eastAsia" w:ascii="Times New Roman" w:hAnsi="Times New Roman" w:eastAsia="宋体" w:cs="Times New Roman"/>
                      <w:color w:val="auto"/>
                      <w:szCs w:val="21"/>
                      <w:lang w:val="en-US" w:eastAsia="zh-CN"/>
                    </w:rPr>
                    <w:t>化粪池</w:t>
                  </w:r>
                  <w:r>
                    <w:rPr>
                      <w:rFonts w:hint="eastAsia" w:cs="Times New Roman"/>
                      <w:color w:val="auto"/>
                      <w:szCs w:val="21"/>
                      <w:lang w:val="en-US" w:eastAsia="zh-CN"/>
                    </w:rPr>
                    <w:t>处理后排入市政污水处理管网</w:t>
                  </w:r>
                  <w:r>
                    <w:rPr>
                      <w:rFonts w:hint="eastAsia" w:cs="Times New Roman"/>
                      <w:color w:val="FF0000"/>
                      <w:szCs w:val="21"/>
                      <w:highlight w:val="none"/>
                      <w:lang w:val="en-US" w:eastAsia="zh-CN"/>
                    </w:rPr>
                    <w:t>，</w:t>
                  </w:r>
                  <w:r>
                    <w:rPr>
                      <w:rFonts w:hint="eastAsia" w:cs="Times New Roman"/>
                      <w:color w:val="FF0000"/>
                      <w:highlight w:val="none"/>
                      <w:lang w:val="en-US" w:eastAsia="zh-CN"/>
                    </w:rPr>
                    <w:t>进</w:t>
                  </w:r>
                  <w:r>
                    <w:rPr>
                      <w:rFonts w:hint="eastAsia" w:cs="Times New Roman"/>
                      <w:lang w:val="en-US" w:eastAsia="zh-CN" w:bidi="ar-SA"/>
                    </w:rPr>
                    <w:t>银定图镇丰乐新村污水处理站</w:t>
                  </w:r>
                  <w:r>
                    <w:rPr>
                      <w:rFonts w:hint="eastAsia" w:cs="Times New Roman"/>
                      <w:color w:val="FF0000"/>
                      <w:highlight w:val="none"/>
                      <w:lang w:val="en-US" w:eastAsia="zh-CN"/>
                    </w:rPr>
                    <w:t>进一步处理</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供电</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由市政供电系统供给</w:t>
                  </w:r>
                  <w:r>
                    <w:rPr>
                      <w:rFonts w:hint="eastAsia" w:cs="Times New Roman"/>
                      <w:color w:val="auto"/>
                      <w:szCs w:val="21"/>
                      <w:lang w:val="en-US" w:eastAsia="zh-CN"/>
                    </w:rPr>
                    <w:t>，用电量为51.65万</w:t>
                  </w:r>
                  <w:r>
                    <w:rPr>
                      <w:rFonts w:hint="default" w:ascii="Times New Roman" w:hAnsi="Times New Roman" w:eastAsia="宋体" w:cs="Times New Roman"/>
                      <w:color w:val="auto"/>
                      <w:sz w:val="21"/>
                      <w:szCs w:val="21"/>
                      <w:highlight w:val="none"/>
                      <w:lang w:eastAsia="zh-CN"/>
                    </w:rPr>
                    <w:t>kw·h/a</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供暖、制冷</w:t>
                  </w:r>
                </w:p>
              </w:tc>
              <w:tc>
                <w:tcPr>
                  <w:tcW w:w="5547" w:type="dxa"/>
                  <w:noWrap w:val="0"/>
                  <w:vAlign w:val="center"/>
                </w:tcPr>
                <w:p>
                  <w:pPr>
                    <w:spacing w:before="24" w:after="24" w:line="240" w:lineRule="auto"/>
                    <w:jc w:val="center"/>
                    <w:rPr>
                      <w:rFonts w:hint="eastAsia" w:cs="Times New Roman"/>
                      <w:color w:val="FF0000"/>
                      <w:szCs w:val="21"/>
                      <w:highlight w:val="none"/>
                      <w:lang w:val="en-US" w:eastAsia="zh-CN"/>
                    </w:rPr>
                  </w:pPr>
                  <w:r>
                    <w:rPr>
                      <w:rFonts w:hint="eastAsia" w:cs="Times New Roman"/>
                      <w:color w:val="FF0000"/>
                      <w:szCs w:val="21"/>
                      <w:highlight w:val="none"/>
                      <w:lang w:val="en-US" w:eastAsia="zh-CN"/>
                    </w:rPr>
                    <w:t>多味瓜子水煮工序煮锅、</w:t>
                  </w:r>
                  <w:r>
                    <w:rPr>
                      <w:rFonts w:hint="eastAsia" w:ascii="Times New Roman" w:hAnsi="Times New Roman" w:eastAsia="宋体" w:cs="Times New Roman"/>
                      <w:color w:val="FF0000"/>
                      <w:szCs w:val="21"/>
                      <w:highlight w:val="none"/>
                      <w:lang w:val="en-US" w:eastAsia="zh-CN"/>
                    </w:rPr>
                    <w:t>烘干</w:t>
                  </w:r>
                  <w:r>
                    <w:rPr>
                      <w:rFonts w:hint="eastAsia" w:cs="Times New Roman"/>
                      <w:color w:val="FF0000"/>
                      <w:szCs w:val="21"/>
                      <w:highlight w:val="none"/>
                      <w:lang w:val="en-US" w:eastAsia="zh-CN"/>
                    </w:rPr>
                    <w:t>工序热风炉和原味瓜子</w:t>
                  </w:r>
                  <w:r>
                    <w:rPr>
                      <w:rFonts w:hint="eastAsia" w:ascii="Times New Roman" w:hAnsi="Times New Roman" w:cs="Times New Roman"/>
                      <w:color w:val="FF0000"/>
                      <w:highlight w:val="none"/>
                      <w:lang w:val="en-US" w:eastAsia="zh-CN"/>
                    </w:rPr>
                    <w:t>炒制</w:t>
                  </w:r>
                  <w:r>
                    <w:rPr>
                      <w:rFonts w:hint="eastAsia" w:cs="Times New Roman"/>
                      <w:color w:val="FF0000"/>
                      <w:szCs w:val="21"/>
                      <w:highlight w:val="none"/>
                      <w:lang w:val="en-US" w:eastAsia="zh-CN"/>
                    </w:rPr>
                    <w:t>工序炒货机均使用</w:t>
                  </w:r>
                  <w:r>
                    <w:rPr>
                      <w:rFonts w:hint="default" w:ascii="Times New Roman" w:hAnsi="Times New Roman" w:eastAsia="宋体" w:cs="Times New Roman"/>
                      <w:color w:val="FF0000"/>
                      <w:sz w:val="21"/>
                      <w:szCs w:val="21"/>
                      <w:highlight w:val="none"/>
                      <w:lang w:val="en-US" w:eastAsia="zh-CN"/>
                    </w:rPr>
                    <w:t>成型生物质燃料</w:t>
                  </w:r>
                  <w:r>
                    <w:rPr>
                      <w:rFonts w:hint="eastAsia" w:ascii="Times New Roman" w:hAnsi="Times New Roman" w:eastAsia="宋体" w:cs="Times New Roman"/>
                      <w:color w:val="FF0000"/>
                      <w:sz w:val="21"/>
                      <w:szCs w:val="21"/>
                      <w:highlight w:val="none"/>
                      <w:lang w:val="en-US" w:eastAsia="zh-CN"/>
                    </w:rPr>
                    <w:t>；</w:t>
                  </w:r>
                </w:p>
                <w:p>
                  <w:pPr>
                    <w:spacing w:before="24" w:after="24" w:line="240" w:lineRule="auto"/>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辣椒烘干</w:t>
                  </w:r>
                  <w:r>
                    <w:rPr>
                      <w:rFonts w:hint="eastAsia" w:cs="Times New Roman"/>
                      <w:color w:val="FF0000"/>
                      <w:szCs w:val="21"/>
                      <w:highlight w:val="none"/>
                      <w:lang w:val="en-US" w:eastAsia="zh-CN"/>
                    </w:rPr>
                    <w:t>工序用热由电烘干机提供；</w:t>
                  </w:r>
                </w:p>
                <w:p>
                  <w:pPr>
                    <w:spacing w:before="24" w:after="24" w:line="240" w:lineRule="auto"/>
                    <w:jc w:val="center"/>
                    <w:rPr>
                      <w:rFonts w:hint="eastAsia" w:ascii="Times New Roman" w:hAnsi="Times New Roman" w:eastAsia="宋体" w:cs="Times New Roman"/>
                      <w:color w:val="auto"/>
                      <w:szCs w:val="21"/>
                      <w:lang w:val="en-GB" w:eastAsia="zh-CN"/>
                    </w:rPr>
                  </w:pPr>
                  <w:r>
                    <w:rPr>
                      <w:rFonts w:hint="eastAsia" w:cs="Times New Roman"/>
                      <w:color w:val="auto"/>
                      <w:szCs w:val="21"/>
                      <w:lang w:val="en-US" w:eastAsia="zh-CN"/>
                    </w:rPr>
                    <w:t>办公室</w:t>
                  </w:r>
                  <w:r>
                    <w:rPr>
                      <w:rFonts w:hint="eastAsia" w:ascii="Times New Roman" w:hAnsi="Times New Roman" w:eastAsia="宋体" w:cs="Times New Roman"/>
                      <w:color w:val="auto"/>
                      <w:szCs w:val="21"/>
                      <w:lang w:val="en-US" w:eastAsia="zh-CN"/>
                    </w:rPr>
                    <w:t>采用分体空调制冷、供暖。</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restart"/>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环保工程</w:t>
                  </w:r>
                </w:p>
              </w:tc>
              <w:tc>
                <w:tcPr>
                  <w:tcW w:w="1124" w:type="dxa"/>
                  <w:vMerge w:val="restart"/>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废气治理</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cs="Times New Roman"/>
                      <w:color w:val="FF0000"/>
                      <w:szCs w:val="21"/>
                      <w:highlight w:val="none"/>
                      <w:lang w:val="en-US" w:eastAsia="zh-CN"/>
                    </w:rPr>
                    <w:t>多味瓜子</w:t>
                  </w:r>
                  <w:r>
                    <w:rPr>
                      <w:rFonts w:hint="eastAsia" w:ascii="Times New Roman" w:hAnsi="Times New Roman" w:eastAsia="宋体" w:cs="Times New Roman"/>
                      <w:color w:val="FF0000"/>
                      <w:szCs w:val="21"/>
                      <w:highlight w:val="none"/>
                      <w:lang w:val="en-US" w:eastAsia="zh-CN"/>
                    </w:rPr>
                    <w:t>水煮烘干</w:t>
                  </w:r>
                  <w:r>
                    <w:rPr>
                      <w:rFonts w:hint="eastAsia" w:cs="Times New Roman"/>
                      <w:color w:val="FF0000"/>
                      <w:szCs w:val="21"/>
                      <w:highlight w:val="none"/>
                      <w:lang w:val="en-US" w:eastAsia="zh-CN"/>
                    </w:rPr>
                    <w:t>工序、原味瓜子</w:t>
                  </w:r>
                  <w:r>
                    <w:rPr>
                      <w:rFonts w:hint="eastAsia" w:ascii="Times New Roman" w:hAnsi="Times New Roman" w:cs="Times New Roman"/>
                      <w:color w:val="FF0000"/>
                      <w:highlight w:val="none"/>
                      <w:lang w:val="en-US" w:eastAsia="zh-CN"/>
                    </w:rPr>
                    <w:t>炒制</w:t>
                  </w:r>
                  <w:r>
                    <w:rPr>
                      <w:rFonts w:hint="eastAsia" w:cs="Times New Roman"/>
                      <w:color w:val="FF0000"/>
                      <w:szCs w:val="21"/>
                      <w:highlight w:val="none"/>
                      <w:lang w:val="en-US" w:eastAsia="zh-CN"/>
                    </w:rPr>
                    <w:t>工序生物质燃料</w:t>
                  </w:r>
                  <w:r>
                    <w:rPr>
                      <w:rFonts w:hint="eastAsia" w:ascii="Times New Roman" w:hAnsi="Times New Roman" w:eastAsia="宋体" w:cs="Times New Roman"/>
                      <w:color w:val="FF0000"/>
                      <w:szCs w:val="21"/>
                      <w:highlight w:val="none"/>
                      <w:lang w:val="en-US" w:eastAsia="zh-CN"/>
                    </w:rPr>
                    <w:t>产生的燃烧废气通过排气管道收集，经布袋除尘器处理后，由1根15</w:t>
                  </w:r>
                  <w:r>
                    <w:rPr>
                      <w:rFonts w:hint="eastAsia" w:cs="Times New Roman"/>
                      <w:color w:val="FF0000"/>
                      <w:szCs w:val="21"/>
                      <w:highlight w:val="none"/>
                      <w:lang w:val="en-US" w:eastAsia="zh-CN"/>
                    </w:rPr>
                    <w:t>m</w:t>
                  </w:r>
                  <w:r>
                    <w:rPr>
                      <w:rFonts w:hint="eastAsia" w:ascii="Times New Roman" w:hAnsi="Times New Roman" w:eastAsia="宋体" w:cs="Times New Roman"/>
                      <w:color w:val="auto"/>
                      <w:szCs w:val="21"/>
                      <w:lang w:val="en-US" w:eastAsia="zh-CN"/>
                    </w:rPr>
                    <w:t>高的排气筒排放</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瓜子水煮、辣椒烘干工序</w:t>
                  </w:r>
                  <w:r>
                    <w:rPr>
                      <w:rFonts w:hint="eastAsia" w:ascii="Times New Roman" w:hAnsi="Times New Roman" w:eastAsia="宋体" w:cs="Times New Roman"/>
                      <w:color w:val="auto"/>
                      <w:szCs w:val="21"/>
                      <w:lang w:val="en-US" w:eastAsia="zh-CN"/>
                    </w:rPr>
                    <w:t>产生的香料异味</w:t>
                  </w:r>
                  <w:r>
                    <w:rPr>
                      <w:rFonts w:hint="eastAsia" w:cs="Times New Roman"/>
                      <w:color w:val="auto"/>
                      <w:szCs w:val="21"/>
                      <w:lang w:val="en-US" w:eastAsia="zh-CN"/>
                    </w:rPr>
                    <w:t>、辛辣气味</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筛选</w:t>
                  </w:r>
                  <w:r>
                    <w:rPr>
                      <w:rFonts w:hint="eastAsia" w:cs="Times New Roman"/>
                      <w:color w:val="auto"/>
                      <w:szCs w:val="21"/>
                      <w:lang w:val="en-US" w:eastAsia="zh-CN"/>
                    </w:rPr>
                    <w:t>、脱皮工序</w:t>
                  </w:r>
                  <w:r>
                    <w:rPr>
                      <w:rFonts w:hint="eastAsia" w:ascii="Times New Roman" w:hAnsi="Times New Roman" w:eastAsia="宋体" w:cs="Times New Roman"/>
                      <w:color w:val="auto"/>
                      <w:szCs w:val="21"/>
                      <w:lang w:val="en-US" w:eastAsia="zh-CN"/>
                    </w:rPr>
                    <w:t>产生的废气通过</w:t>
                  </w:r>
                  <w:r>
                    <w:rPr>
                      <w:rFonts w:hint="eastAsia" w:cs="Times New Roman"/>
                      <w:color w:val="auto"/>
                      <w:szCs w:val="21"/>
                      <w:lang w:val="en-US" w:eastAsia="zh-CN"/>
                    </w:rPr>
                    <w:t>设备自带收尘装置</w:t>
                  </w:r>
                  <w:r>
                    <w:rPr>
                      <w:rFonts w:hint="eastAsia" w:ascii="Times New Roman" w:hAnsi="Times New Roman" w:eastAsia="宋体" w:cs="Times New Roman"/>
                      <w:color w:val="auto"/>
                      <w:szCs w:val="21"/>
                      <w:lang w:val="en-US" w:eastAsia="zh-CN"/>
                    </w:rPr>
                    <w:t>收集，最终以无组织方式排放</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废水治理</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本项目无生产废水排放；</w:t>
                  </w:r>
                </w:p>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生活污水</w:t>
                  </w:r>
                  <w:r>
                    <w:rPr>
                      <w:rFonts w:hint="eastAsia" w:cs="Times New Roman"/>
                      <w:color w:val="auto"/>
                      <w:szCs w:val="21"/>
                      <w:lang w:val="en-US" w:eastAsia="zh-CN"/>
                    </w:rPr>
                    <w:t>经</w:t>
                  </w:r>
                  <w:r>
                    <w:rPr>
                      <w:rFonts w:hint="eastAsia" w:ascii="Times New Roman" w:hAnsi="Times New Roman" w:eastAsia="宋体" w:cs="Times New Roman"/>
                      <w:color w:val="auto"/>
                      <w:szCs w:val="21"/>
                      <w:lang w:val="en-US" w:eastAsia="zh-CN"/>
                    </w:rPr>
                    <w:t>化粪池</w:t>
                  </w:r>
                  <w:r>
                    <w:rPr>
                      <w:rFonts w:hint="eastAsia" w:cs="Times New Roman"/>
                      <w:color w:val="auto"/>
                      <w:szCs w:val="21"/>
                      <w:lang w:val="en-US" w:eastAsia="zh-CN"/>
                    </w:rPr>
                    <w:t>处理后排入市政污水处理管网，</w:t>
                  </w:r>
                  <w:r>
                    <w:rPr>
                      <w:rFonts w:hint="eastAsia" w:cs="Times New Roman"/>
                      <w:color w:val="FF0000"/>
                      <w:highlight w:val="none"/>
                      <w:lang w:val="en-US" w:eastAsia="zh-CN"/>
                    </w:rPr>
                    <w:t>进</w:t>
                  </w:r>
                  <w:r>
                    <w:rPr>
                      <w:rFonts w:hint="eastAsia" w:cs="Times New Roman"/>
                      <w:lang w:val="en-US" w:eastAsia="zh-CN" w:bidi="ar-SA"/>
                    </w:rPr>
                    <w:t>银定图镇丰乐新村污水处理站</w:t>
                  </w:r>
                  <w:r>
                    <w:rPr>
                      <w:rFonts w:hint="eastAsia" w:cs="Times New Roman"/>
                      <w:color w:val="FF0000"/>
                      <w:highlight w:val="none"/>
                      <w:lang w:val="en-US" w:eastAsia="zh-CN"/>
                    </w:rPr>
                    <w:t>进一步处理</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噪声治理</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采取厂房隔声、设备消声、减震等措施</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restart"/>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固废治理</w:t>
                  </w: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职工生活垃圾由垃圾桶收集，委托环卫部门定期清运</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筛选产生的不合格</w:t>
                  </w:r>
                  <w:r>
                    <w:rPr>
                      <w:rFonts w:hint="eastAsia" w:cs="Times New Roman"/>
                      <w:color w:val="auto"/>
                      <w:szCs w:val="21"/>
                      <w:lang w:val="en-US" w:eastAsia="zh-CN"/>
                    </w:rPr>
                    <w:t>瓜子</w:t>
                  </w:r>
                  <w:r>
                    <w:rPr>
                      <w:rFonts w:hint="eastAsia" w:ascii="Times New Roman" w:hAnsi="Times New Roman" w:eastAsia="宋体" w:cs="Times New Roman"/>
                      <w:color w:val="auto"/>
                      <w:szCs w:val="21"/>
                      <w:lang w:val="en-US" w:eastAsia="zh-CN"/>
                    </w:rPr>
                    <w:t>收集后用于水煮工序燃料</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水煮工序产生的废八角、废桂皮等废辅料、水煮锅底泥沉淀、干燥后统一收集后委托环卫部门处置</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辣椒精选</w:t>
                  </w:r>
                  <w:r>
                    <w:rPr>
                      <w:rFonts w:hint="eastAsia" w:cs="Times New Roman"/>
                      <w:color w:val="auto"/>
                      <w:szCs w:val="21"/>
                      <w:lang w:val="en-US" w:eastAsia="zh-CN"/>
                    </w:rPr>
                    <w:t>产生的</w:t>
                  </w:r>
                  <w:r>
                    <w:rPr>
                      <w:rFonts w:hint="eastAsia" w:ascii="Times New Roman" w:hAnsi="Times New Roman" w:eastAsia="宋体" w:cs="Times New Roman"/>
                      <w:color w:val="auto"/>
                      <w:szCs w:val="21"/>
                      <w:lang w:val="en-US" w:eastAsia="zh-CN"/>
                    </w:rPr>
                    <w:t>不合格辣椒、辣椒梗及石子、砂砾等杂质收集后委托环卫部门处置</w:t>
                  </w:r>
                </w:p>
              </w:tc>
              <w:tc>
                <w:tcPr>
                  <w:tcW w:w="762" w:type="dxa"/>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除尘灰收集后外售有机肥厂制作肥料</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1124" w:type="dxa"/>
                  <w:vMerge w:val="continue"/>
                  <w:noWrap w:val="0"/>
                  <w:vAlign w:val="center"/>
                </w:tcPr>
                <w:p>
                  <w:pPr>
                    <w:spacing w:before="24" w:after="24" w:line="240" w:lineRule="auto"/>
                    <w:jc w:val="center"/>
                    <w:rPr>
                      <w:rFonts w:hint="eastAsia" w:ascii="Times New Roman" w:hAnsi="Times New Roman" w:eastAsia="宋体" w:cs="Times New Roman"/>
                      <w:color w:val="auto"/>
                      <w:szCs w:val="21"/>
                      <w:lang w:val="en-US" w:eastAsia="zh-CN"/>
                    </w:rPr>
                  </w:pPr>
                </w:p>
              </w:tc>
              <w:tc>
                <w:tcPr>
                  <w:tcW w:w="5547" w:type="dxa"/>
                  <w:noWrap w:val="0"/>
                  <w:vAlign w:val="center"/>
                </w:tcPr>
                <w:p>
                  <w:pPr>
                    <w:spacing w:before="24" w:after="24" w:line="240" w:lineRule="auto"/>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生物质燃料灰渣收集后外售有机肥厂制作肥料</w:t>
                  </w:r>
                </w:p>
              </w:tc>
              <w:tc>
                <w:tcPr>
                  <w:tcW w:w="762" w:type="dxa"/>
                  <w:noWrap w:val="0"/>
                  <w:vAlign w:val="center"/>
                </w:tcPr>
                <w:p>
                  <w:pPr>
                    <w:spacing w:before="24" w:after="24"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新建</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textAlignment w:val="auto"/>
              <w:rPr>
                <w:rFonts w:hint="eastAsia" w:eastAsia="宋体"/>
                <w:b/>
                <w:color w:val="auto"/>
                <w:sz w:val="24"/>
                <w:lang w:val="en-US" w:eastAsia="zh-CN"/>
              </w:rPr>
            </w:pPr>
            <w:r>
              <w:rPr>
                <w:rFonts w:hint="eastAsia"/>
                <w:b/>
                <w:color w:val="auto"/>
                <w:sz w:val="24"/>
                <w:lang w:val="en-US" w:eastAsia="zh-CN"/>
              </w:rPr>
              <w:t>3、</w:t>
            </w:r>
            <w:r>
              <w:rPr>
                <w:b/>
                <w:color w:val="auto"/>
                <w:sz w:val="24"/>
              </w:rPr>
              <w:t>主要</w:t>
            </w:r>
            <w:r>
              <w:rPr>
                <w:rFonts w:hint="eastAsia"/>
                <w:b/>
                <w:color w:val="auto"/>
                <w:sz w:val="24"/>
                <w:lang w:val="en-US" w:eastAsia="zh-CN"/>
              </w:rPr>
              <w:t>生产设备</w:t>
            </w:r>
          </w:p>
          <w:p>
            <w:pPr>
              <w:pStyle w:val="38"/>
              <w:spacing w:line="240" w:lineRule="auto"/>
              <w:rPr>
                <w:rFonts w:hint="eastAsia" w:eastAsia="宋体"/>
                <w:color w:val="auto"/>
                <w:sz w:val="24"/>
                <w:szCs w:val="24"/>
                <w:lang w:eastAsia="zh-CN"/>
              </w:rPr>
            </w:pPr>
            <w:r>
              <w:rPr>
                <w:color w:val="auto"/>
                <w:sz w:val="24"/>
                <w:szCs w:val="24"/>
              </w:rPr>
              <w:t>表2-</w:t>
            </w:r>
            <w:r>
              <w:rPr>
                <w:rFonts w:hint="eastAsia"/>
                <w:color w:val="auto"/>
                <w:sz w:val="24"/>
                <w:szCs w:val="24"/>
                <w:lang w:val="en-US" w:eastAsia="zh-CN"/>
              </w:rPr>
              <w:t>2</w:t>
            </w:r>
            <w:r>
              <w:rPr>
                <w:color w:val="auto"/>
                <w:sz w:val="24"/>
                <w:szCs w:val="24"/>
              </w:rPr>
              <w:t xml:space="preserve"> 项目主要设备</w:t>
            </w:r>
            <w:r>
              <w:rPr>
                <w:rFonts w:hint="eastAsia"/>
                <w:color w:val="auto"/>
                <w:sz w:val="24"/>
                <w:szCs w:val="24"/>
                <w:lang w:val="en-US" w:eastAsia="zh-CN"/>
              </w:rPr>
              <w:t>一览表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3020"/>
              <w:gridCol w:w="1512"/>
              <w:gridCol w:w="24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bidi="ar"/>
                    </w:rPr>
                    <w:t>序号</w:t>
                  </w:r>
                </w:p>
              </w:tc>
              <w:tc>
                <w:tcPr>
                  <w:tcW w:w="30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bidi="ar"/>
                    </w:rPr>
                    <w:t>设备名称</w:t>
                  </w:r>
                </w:p>
              </w:tc>
              <w:tc>
                <w:tcPr>
                  <w:tcW w:w="151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bidi="ar"/>
                    </w:rPr>
                    <w:t>数量</w:t>
                  </w:r>
                </w:p>
              </w:tc>
              <w:tc>
                <w:tcPr>
                  <w:tcW w:w="244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color w:val="auto"/>
                      <w:kern w:val="0"/>
                      <w:sz w:val="21"/>
                      <w:szCs w:val="21"/>
                      <w:highlight w:val="none"/>
                      <w:lang w:val="en-US" w:eastAsia="zh-CN" w:bidi="ar"/>
                    </w:rPr>
                  </w:pPr>
                  <w:r>
                    <w:rPr>
                      <w:rFonts w:hint="default" w:ascii="Times New Roman" w:hAnsi="Times New Roman" w:eastAsia="宋体" w:cs="Times New Roman"/>
                      <w:b/>
                      <w:color w:val="auto"/>
                      <w:kern w:val="0"/>
                      <w:sz w:val="21"/>
                      <w:szCs w:val="21"/>
                      <w:highlight w:val="none"/>
                      <w:lang w:bidi="ar"/>
                    </w:rPr>
                    <w:t>型号和规格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50" w:type="dxa"/>
                  <w:gridSpan w:val="4"/>
                  <w:noWrap w:val="0"/>
                  <w:vAlign w:val="center"/>
                </w:tcPr>
                <w:p>
                  <w:pPr>
                    <w:spacing w:line="240" w:lineRule="auto"/>
                    <w:jc w:val="center"/>
                    <w:rPr>
                      <w:rFonts w:hint="default"/>
                      <w:color w:val="auto"/>
                      <w:sz w:val="21"/>
                      <w:szCs w:val="21"/>
                      <w:lang w:val="en-US" w:eastAsia="zh-CN"/>
                    </w:rPr>
                  </w:pPr>
                  <w:r>
                    <w:rPr>
                      <w:rFonts w:hint="eastAsia"/>
                      <w:b/>
                      <w:bCs/>
                      <w:color w:val="FF0000"/>
                      <w:sz w:val="21"/>
                      <w:szCs w:val="21"/>
                      <w:highlight w:val="none"/>
                      <w:lang w:val="en-US" w:eastAsia="zh-CN"/>
                    </w:rPr>
                    <w:t>瓜子加工设备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color w:val="auto"/>
                      <w:sz w:val="21"/>
                      <w:szCs w:val="21"/>
                    </w:rPr>
                  </w:pPr>
                  <w:r>
                    <w:rPr>
                      <w:color w:val="auto"/>
                      <w:kern w:val="0"/>
                      <w:sz w:val="21"/>
                      <w:szCs w:val="21"/>
                      <w:lang w:bidi="ar"/>
                    </w:rPr>
                    <w:t>1</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lang w:val="en-US" w:eastAsia="zh-CN"/>
                    </w:rPr>
                  </w:pPr>
                  <w:r>
                    <w:rPr>
                      <w:rFonts w:hint="eastAsia"/>
                      <w:color w:val="auto"/>
                      <w:kern w:val="2"/>
                      <w:sz w:val="21"/>
                      <w:szCs w:val="21"/>
                      <w:lang w:val="en-US" w:eastAsia="zh-CN"/>
                    </w:rPr>
                    <w:t>煮锅</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5</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500kg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color w:val="auto"/>
                      <w:sz w:val="21"/>
                      <w:szCs w:val="21"/>
                    </w:rPr>
                  </w:pPr>
                  <w:r>
                    <w:rPr>
                      <w:color w:val="auto"/>
                      <w:kern w:val="0"/>
                      <w:sz w:val="21"/>
                      <w:szCs w:val="21"/>
                      <w:lang w:bidi="ar"/>
                    </w:rPr>
                    <w:t>2</w:t>
                  </w:r>
                </w:p>
              </w:tc>
              <w:tc>
                <w:tcPr>
                  <w:tcW w:w="3020" w:type="dxa"/>
                  <w:noWrap w:val="0"/>
                  <w:vAlign w:val="center"/>
                </w:tcPr>
                <w:p>
                  <w:pPr>
                    <w:adjustRightInd/>
                    <w:spacing w:before="24" w:after="24" w:line="240" w:lineRule="auto"/>
                    <w:jc w:val="center"/>
                    <w:rPr>
                      <w:rFonts w:hint="default" w:ascii="Times New Roman"/>
                      <w:color w:val="auto"/>
                      <w:kern w:val="2"/>
                      <w:sz w:val="21"/>
                      <w:szCs w:val="21"/>
                      <w:lang w:val="en-US"/>
                    </w:rPr>
                  </w:pPr>
                  <w:r>
                    <w:rPr>
                      <w:rFonts w:hint="eastAsia"/>
                      <w:color w:val="auto"/>
                      <w:kern w:val="2"/>
                      <w:sz w:val="21"/>
                      <w:szCs w:val="21"/>
                      <w:lang w:val="en-US" w:eastAsia="zh-CN"/>
                    </w:rPr>
                    <w:t>煮锅吊篓</w:t>
                  </w:r>
                </w:p>
              </w:tc>
              <w:tc>
                <w:tcPr>
                  <w:tcW w:w="1512" w:type="dxa"/>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w:t>
                  </w:r>
                </w:p>
              </w:tc>
              <w:tc>
                <w:tcPr>
                  <w:tcW w:w="2442" w:type="dxa"/>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500kg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color w:val="auto"/>
                      <w:sz w:val="21"/>
                      <w:szCs w:val="21"/>
                    </w:rPr>
                  </w:pPr>
                  <w:r>
                    <w:rPr>
                      <w:color w:val="auto"/>
                      <w:kern w:val="0"/>
                      <w:sz w:val="21"/>
                      <w:szCs w:val="21"/>
                      <w:lang w:bidi="ar"/>
                    </w:rPr>
                    <w:t>3</w:t>
                  </w:r>
                </w:p>
              </w:tc>
              <w:tc>
                <w:tcPr>
                  <w:tcW w:w="3020" w:type="dxa"/>
                  <w:noWrap w:val="0"/>
                  <w:vAlign w:val="center"/>
                </w:tcPr>
                <w:p>
                  <w:pPr>
                    <w:adjustRightInd/>
                    <w:spacing w:before="24" w:after="24" w:line="240" w:lineRule="auto"/>
                    <w:jc w:val="center"/>
                    <w:rPr>
                      <w:rFonts w:hint="default" w:ascii="Times New Roman" w:eastAsia="宋体"/>
                      <w:color w:val="auto"/>
                      <w:sz w:val="21"/>
                      <w:szCs w:val="21"/>
                      <w:lang w:val="en-US" w:eastAsia="zh-CN"/>
                    </w:rPr>
                  </w:pPr>
                  <w:r>
                    <w:rPr>
                      <w:rFonts w:hint="eastAsia"/>
                      <w:color w:val="auto"/>
                      <w:sz w:val="21"/>
                      <w:szCs w:val="21"/>
                      <w:lang w:val="en-US" w:eastAsia="zh-CN"/>
                    </w:rPr>
                    <w:t>烘干池</w:t>
                  </w:r>
                </w:p>
              </w:tc>
              <w:tc>
                <w:tcPr>
                  <w:tcW w:w="1512" w:type="dxa"/>
                  <w:noWrap w:val="0"/>
                  <w:vAlign w:val="center"/>
                </w:tcPr>
                <w:p>
                  <w:pPr>
                    <w:adjustRightInd/>
                    <w:spacing w:before="24" w:after="24" w:line="240" w:lineRule="auto"/>
                    <w:jc w:val="center"/>
                    <w:rPr>
                      <w:rFonts w:hint="eastAsia" w:ascii="Times New Roman" w:eastAsia="宋体"/>
                      <w:color w:val="auto"/>
                      <w:sz w:val="21"/>
                      <w:szCs w:val="21"/>
                      <w:lang w:val="en-US" w:eastAsia="zh-CN"/>
                    </w:rPr>
                  </w:pPr>
                  <w:r>
                    <w:rPr>
                      <w:rFonts w:hint="eastAsia"/>
                      <w:color w:val="auto"/>
                      <w:sz w:val="21"/>
                      <w:szCs w:val="21"/>
                      <w:lang w:val="en-US" w:eastAsia="zh-CN"/>
                    </w:rPr>
                    <w:t>6</w:t>
                  </w:r>
                </w:p>
              </w:tc>
              <w:tc>
                <w:tcPr>
                  <w:tcW w:w="2442" w:type="dxa"/>
                  <w:noWrap w:val="0"/>
                  <w:vAlign w:val="center"/>
                </w:tcPr>
                <w:p>
                  <w:pPr>
                    <w:adjustRightInd/>
                    <w:spacing w:before="24" w:after="24" w:line="240" w:lineRule="auto"/>
                    <w:jc w:val="center"/>
                    <w:rPr>
                      <w:rFonts w:hint="default" w:ascii="Times New Roman" w:eastAsia="宋体"/>
                      <w:color w:val="auto"/>
                      <w:sz w:val="21"/>
                      <w:szCs w:val="21"/>
                      <w:lang w:val="en-US" w:eastAsia="zh-CN"/>
                    </w:rPr>
                  </w:pPr>
                  <w:r>
                    <w:rPr>
                      <w:rFonts w:hint="eastAsia"/>
                      <w:color w:val="auto"/>
                      <w:sz w:val="21"/>
                      <w:szCs w:val="21"/>
                      <w:lang w:val="en-US" w:eastAsia="zh-CN"/>
                    </w:rPr>
                    <w:t>2*3*2.6m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color w:val="auto"/>
                      <w:sz w:val="21"/>
                      <w:szCs w:val="21"/>
                    </w:rPr>
                  </w:pPr>
                  <w:r>
                    <w:rPr>
                      <w:color w:val="auto"/>
                      <w:kern w:val="0"/>
                      <w:sz w:val="21"/>
                      <w:szCs w:val="21"/>
                      <w:lang w:bidi="ar"/>
                    </w:rPr>
                    <w:t>4</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lang w:val="en-US" w:eastAsia="zh-CN"/>
                    </w:rPr>
                  </w:pPr>
                  <w:r>
                    <w:rPr>
                      <w:rFonts w:hint="eastAsia"/>
                      <w:color w:val="auto"/>
                      <w:kern w:val="2"/>
                      <w:sz w:val="21"/>
                      <w:szCs w:val="21"/>
                      <w:lang w:val="en-US" w:eastAsia="zh-CN"/>
                    </w:rPr>
                    <w:t>风机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6</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5.5KW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color w:val="auto"/>
                      <w:sz w:val="21"/>
                      <w:szCs w:val="21"/>
                    </w:rPr>
                  </w:pPr>
                  <w:r>
                    <w:rPr>
                      <w:color w:val="auto"/>
                      <w:kern w:val="0"/>
                      <w:sz w:val="21"/>
                      <w:szCs w:val="21"/>
                      <w:lang w:bidi="ar"/>
                    </w:rPr>
                    <w:t>5</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highlight w:val="none"/>
                      <w:lang w:val="en-US" w:eastAsia="zh-CN"/>
                    </w:rPr>
                  </w:pPr>
                  <w:r>
                    <w:rPr>
                      <w:rFonts w:hint="eastAsia"/>
                      <w:color w:val="auto"/>
                      <w:kern w:val="2"/>
                      <w:sz w:val="21"/>
                      <w:szCs w:val="21"/>
                      <w:highlight w:val="none"/>
                      <w:lang w:val="en-US" w:eastAsia="zh-CN"/>
                    </w:rPr>
                    <w:t>生物质热风炉</w:t>
                  </w:r>
                </w:p>
              </w:tc>
              <w:tc>
                <w:tcPr>
                  <w:tcW w:w="1512" w:type="dxa"/>
                  <w:noWrap w:val="0"/>
                  <w:vAlign w:val="center"/>
                </w:tcPr>
                <w:p>
                  <w:pPr>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6</w:t>
                  </w:r>
                </w:p>
              </w:tc>
              <w:tc>
                <w:tcPr>
                  <w:tcW w:w="2442" w:type="dxa"/>
                  <w:noWrap w:val="0"/>
                  <w:vAlign w:val="center"/>
                </w:tcPr>
                <w:p>
                  <w:pPr>
                    <w:spacing w:line="240" w:lineRule="auto"/>
                    <w:jc w:val="center"/>
                    <w:rPr>
                      <w:rFonts w:hint="default" w:eastAsia="宋体"/>
                      <w:color w:val="auto"/>
                      <w:sz w:val="21"/>
                      <w:szCs w:val="21"/>
                      <w:highlight w:val="none"/>
                      <w:lang w:val="en-US" w:eastAsia="zh-CN"/>
                    </w:rPr>
                  </w:pPr>
                  <w:r>
                    <w:rPr>
                      <w:rFonts w:hint="eastAsia"/>
                      <w:color w:val="auto"/>
                      <w:sz w:val="21"/>
                      <w:szCs w:val="21"/>
                      <w:highlight w:val="yellow"/>
                      <w:lang w:val="en-US" w:eastAsia="zh-CN"/>
                    </w:rPr>
                    <w:t>220KW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6</w:t>
                  </w:r>
                </w:p>
              </w:tc>
              <w:tc>
                <w:tcPr>
                  <w:tcW w:w="3020" w:type="dxa"/>
                  <w:noWrap w:val="0"/>
                  <w:vAlign w:val="center"/>
                </w:tcPr>
                <w:p>
                  <w:pPr>
                    <w:adjustRightInd/>
                    <w:spacing w:before="24" w:after="24" w:line="240" w:lineRule="auto"/>
                    <w:jc w:val="center"/>
                    <w:rPr>
                      <w:rFonts w:hint="default"/>
                      <w:color w:val="auto"/>
                      <w:kern w:val="2"/>
                      <w:sz w:val="21"/>
                      <w:szCs w:val="21"/>
                      <w:lang w:val="en-US" w:eastAsia="zh-CN"/>
                    </w:rPr>
                  </w:pPr>
                  <w:r>
                    <w:rPr>
                      <w:rFonts w:hint="eastAsia"/>
                      <w:color w:val="auto"/>
                      <w:kern w:val="2"/>
                      <w:sz w:val="21"/>
                      <w:szCs w:val="21"/>
                      <w:lang w:val="en-US" w:eastAsia="zh-CN"/>
                    </w:rPr>
                    <w:t>输送带</w:t>
                  </w:r>
                </w:p>
              </w:tc>
              <w:tc>
                <w:tcPr>
                  <w:tcW w:w="1512" w:type="dxa"/>
                  <w:noWrap w:val="0"/>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21</w:t>
                  </w:r>
                </w:p>
              </w:tc>
              <w:tc>
                <w:tcPr>
                  <w:tcW w:w="2442" w:type="dxa"/>
                  <w:noWrap w:val="0"/>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500*21m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eastAsia" w:eastAsia="宋体"/>
                      <w:color w:val="auto"/>
                      <w:sz w:val="21"/>
                      <w:szCs w:val="21"/>
                      <w:lang w:eastAsia="zh-CN"/>
                    </w:rPr>
                  </w:pPr>
                  <w:r>
                    <w:rPr>
                      <w:rFonts w:hint="eastAsia"/>
                      <w:color w:val="auto"/>
                      <w:kern w:val="0"/>
                      <w:sz w:val="21"/>
                      <w:szCs w:val="21"/>
                      <w:lang w:val="en-US" w:eastAsia="zh-CN" w:bidi="ar"/>
                    </w:rPr>
                    <w:t>7</w:t>
                  </w:r>
                </w:p>
              </w:tc>
              <w:tc>
                <w:tcPr>
                  <w:tcW w:w="3020" w:type="dxa"/>
                  <w:noWrap w:val="0"/>
                  <w:vAlign w:val="center"/>
                </w:tcPr>
                <w:p>
                  <w:pPr>
                    <w:adjustRightInd/>
                    <w:spacing w:before="24" w:after="24"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多味瓜子筛选机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800*1600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8</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lang w:val="en-US" w:eastAsia="zh-CN"/>
                    </w:rPr>
                  </w:pPr>
                  <w:r>
                    <w:rPr>
                      <w:rFonts w:hint="eastAsia"/>
                      <w:color w:val="auto"/>
                      <w:kern w:val="2"/>
                      <w:sz w:val="21"/>
                      <w:szCs w:val="21"/>
                      <w:lang w:val="en-US" w:eastAsia="zh-CN"/>
                    </w:rPr>
                    <w:t>Z型提升机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2</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碳钢413型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9</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lang w:val="en-US" w:eastAsia="zh-CN"/>
                    </w:rPr>
                  </w:pPr>
                  <w:r>
                    <w:rPr>
                      <w:rFonts w:hint="eastAsia"/>
                      <w:color w:val="auto"/>
                      <w:kern w:val="2"/>
                      <w:sz w:val="21"/>
                      <w:szCs w:val="21"/>
                      <w:lang w:val="en-US" w:eastAsia="zh-CN"/>
                    </w:rPr>
                    <w:t>储料仓</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2</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2*2m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10</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lang w:val="en-US" w:eastAsia="zh-CN"/>
                    </w:rPr>
                  </w:pPr>
                  <w:r>
                    <w:rPr>
                      <w:rFonts w:hint="eastAsia"/>
                      <w:color w:val="auto"/>
                      <w:kern w:val="2"/>
                      <w:sz w:val="21"/>
                      <w:szCs w:val="21"/>
                      <w:lang w:val="en-US" w:eastAsia="zh-CN"/>
                    </w:rPr>
                    <w:t>脱皮机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2</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1000型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11</w:t>
                  </w:r>
                </w:p>
              </w:tc>
              <w:tc>
                <w:tcPr>
                  <w:tcW w:w="3020" w:type="dxa"/>
                  <w:noWrap w:val="0"/>
                  <w:vAlign w:val="center"/>
                </w:tcPr>
                <w:p>
                  <w:pPr>
                    <w:adjustRightInd/>
                    <w:spacing w:before="24" w:after="24"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上料爬坡机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配套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12</w:t>
                  </w:r>
                </w:p>
              </w:tc>
              <w:tc>
                <w:tcPr>
                  <w:tcW w:w="3020" w:type="dxa"/>
                  <w:noWrap w:val="0"/>
                  <w:vAlign w:val="center"/>
                </w:tcPr>
                <w:p>
                  <w:pPr>
                    <w:adjustRightInd/>
                    <w:spacing w:before="24" w:after="24"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原味炒货主机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增强500型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50" w:type="dxa"/>
                  <w:gridSpan w:val="4"/>
                  <w:noWrap w:val="0"/>
                  <w:vAlign w:val="center"/>
                </w:tcPr>
                <w:p>
                  <w:pPr>
                    <w:spacing w:line="240" w:lineRule="auto"/>
                    <w:jc w:val="center"/>
                    <w:rPr>
                      <w:rFonts w:hint="eastAsia"/>
                      <w:color w:val="auto"/>
                      <w:sz w:val="21"/>
                      <w:szCs w:val="21"/>
                      <w:lang w:val="en-US" w:eastAsia="zh-CN"/>
                    </w:rPr>
                  </w:pPr>
                  <w:r>
                    <w:rPr>
                      <w:rFonts w:hint="eastAsia"/>
                      <w:b/>
                      <w:bCs/>
                      <w:color w:val="FF0000"/>
                      <w:sz w:val="21"/>
                      <w:szCs w:val="21"/>
                      <w:highlight w:val="none"/>
                      <w:lang w:val="en-US" w:eastAsia="zh-CN"/>
                    </w:rPr>
                    <w:t>辣椒精选设备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15</w:t>
                  </w:r>
                </w:p>
              </w:tc>
              <w:tc>
                <w:tcPr>
                  <w:tcW w:w="3020" w:type="dxa"/>
                  <w:noWrap w:val="0"/>
                  <w:vAlign w:val="center"/>
                </w:tcPr>
                <w:p>
                  <w:pPr>
                    <w:adjustRightInd/>
                    <w:spacing w:before="24" w:after="24"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去杂机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16</w:t>
                  </w:r>
                </w:p>
              </w:tc>
              <w:tc>
                <w:tcPr>
                  <w:tcW w:w="3020" w:type="dxa"/>
                  <w:noWrap w:val="0"/>
                  <w:vAlign w:val="center"/>
                </w:tcPr>
                <w:p>
                  <w:pPr>
                    <w:adjustRightInd/>
                    <w:spacing w:before="24" w:after="24" w:line="240" w:lineRule="auto"/>
                    <w:jc w:val="center"/>
                    <w:rPr>
                      <w:rFonts w:hint="eastAsia"/>
                      <w:color w:val="auto"/>
                      <w:kern w:val="2"/>
                      <w:sz w:val="21"/>
                      <w:szCs w:val="21"/>
                      <w:lang w:val="en-US" w:eastAsia="zh-CN"/>
                    </w:rPr>
                  </w:pPr>
                  <w:r>
                    <w:rPr>
                      <w:rFonts w:hint="eastAsia"/>
                      <w:color w:val="auto"/>
                      <w:kern w:val="2"/>
                      <w:sz w:val="21"/>
                      <w:szCs w:val="21"/>
                      <w:lang w:val="en-US" w:eastAsia="zh-CN"/>
                    </w:rPr>
                    <w:t>剪把机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17</w:t>
                  </w:r>
                </w:p>
              </w:tc>
              <w:tc>
                <w:tcPr>
                  <w:tcW w:w="3020" w:type="dxa"/>
                  <w:noWrap w:val="0"/>
                  <w:vAlign w:val="center"/>
                </w:tcPr>
                <w:p>
                  <w:pPr>
                    <w:adjustRightInd/>
                    <w:spacing w:before="24" w:after="24"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色选机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18</w:t>
                  </w:r>
                </w:p>
              </w:tc>
              <w:tc>
                <w:tcPr>
                  <w:tcW w:w="3020" w:type="dxa"/>
                  <w:noWrap w:val="0"/>
                  <w:vAlign w:val="center"/>
                </w:tcPr>
                <w:p>
                  <w:pPr>
                    <w:adjustRightInd/>
                    <w:spacing w:before="24" w:after="24"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电烘干机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6" w:type="dxa"/>
                  <w:noWrap w:val="0"/>
                  <w:vAlign w:val="center"/>
                </w:tcPr>
                <w:p>
                  <w:pPr>
                    <w:widowControl/>
                    <w:spacing w:line="240" w:lineRule="auto"/>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19</w:t>
                  </w:r>
                </w:p>
              </w:tc>
              <w:tc>
                <w:tcPr>
                  <w:tcW w:w="3020" w:type="dxa"/>
                  <w:noWrap w:val="0"/>
                  <w:vAlign w:val="center"/>
                </w:tcPr>
                <w:p>
                  <w:pPr>
                    <w:adjustRightInd/>
                    <w:spacing w:before="24" w:after="24" w:line="240" w:lineRule="auto"/>
                    <w:jc w:val="center"/>
                    <w:rPr>
                      <w:rFonts w:hint="eastAsia" w:ascii="Times New Roman" w:eastAsia="宋体"/>
                      <w:color w:val="auto"/>
                      <w:kern w:val="2"/>
                      <w:sz w:val="21"/>
                      <w:szCs w:val="21"/>
                      <w:lang w:val="en-US" w:eastAsia="zh-CN"/>
                    </w:rPr>
                  </w:pPr>
                  <w:r>
                    <w:rPr>
                      <w:rFonts w:hint="eastAsia"/>
                      <w:color w:val="auto"/>
                      <w:kern w:val="2"/>
                      <w:sz w:val="21"/>
                      <w:szCs w:val="21"/>
                      <w:lang w:val="en-US" w:eastAsia="zh-CN"/>
                    </w:rPr>
                    <w:t>打包机</w:t>
                  </w:r>
                </w:p>
              </w:tc>
              <w:tc>
                <w:tcPr>
                  <w:tcW w:w="151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1</w:t>
                  </w:r>
                </w:p>
              </w:tc>
              <w:tc>
                <w:tcPr>
                  <w:tcW w:w="2442" w:type="dxa"/>
                  <w:noWrap w:val="0"/>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textAlignment w:val="auto"/>
              <w:rPr>
                <w:b/>
                <w:color w:val="auto"/>
                <w:sz w:val="24"/>
              </w:rPr>
            </w:pPr>
            <w:r>
              <w:rPr>
                <w:rFonts w:hint="eastAsia"/>
                <w:b/>
                <w:color w:val="auto"/>
                <w:sz w:val="24"/>
                <w:lang w:val="en-US" w:eastAsia="zh-CN"/>
              </w:rPr>
              <w:t>4</w:t>
            </w:r>
            <w:r>
              <w:rPr>
                <w:rFonts w:hint="eastAsia"/>
                <w:b/>
                <w:color w:val="auto"/>
                <w:sz w:val="24"/>
              </w:rPr>
              <w:t>、生产规模方案</w:t>
            </w:r>
          </w:p>
          <w:p>
            <w:pPr>
              <w:pStyle w:val="38"/>
              <w:spacing w:line="24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 xml:space="preserve"> 项目产品方案表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839"/>
              <w:gridCol w:w="3568"/>
              <w:gridCol w:w="1778"/>
              <w:gridCol w:w="18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23" w:type="pct"/>
                  <w:shd w:val="clear" w:color="000000" w:fill="FFFFFF"/>
                  <w:noWrap w:val="0"/>
                  <w:tcMar>
                    <w:left w:w="108" w:type="dxa"/>
                    <w:right w:w="108"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rPr>
                    <w:t>序号</w:t>
                  </w:r>
                </w:p>
              </w:tc>
              <w:tc>
                <w:tcPr>
                  <w:tcW w:w="2223" w:type="pct"/>
                  <w:shd w:val="clear" w:color="000000" w:fill="FFFFFF"/>
                  <w:noWrap w:val="0"/>
                  <w:tcMar>
                    <w:left w:w="108" w:type="dxa"/>
                    <w:right w:w="108"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rPr>
                    <w:t>项目名称</w:t>
                  </w:r>
                </w:p>
              </w:tc>
              <w:tc>
                <w:tcPr>
                  <w:tcW w:w="1108" w:type="pct"/>
                  <w:shd w:val="clear" w:color="000000" w:fill="FFFFFF"/>
                  <w:noWrap w:val="0"/>
                  <w:tcMar>
                    <w:left w:w="108" w:type="dxa"/>
                    <w:right w:w="108"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rPr>
                    <w:t>单位</w:t>
                  </w:r>
                </w:p>
              </w:tc>
              <w:tc>
                <w:tcPr>
                  <w:tcW w:w="1144" w:type="pct"/>
                  <w:shd w:val="clear" w:color="000000" w:fill="FFFFFF"/>
                  <w:noWrap w:val="0"/>
                  <w:tcMar>
                    <w:left w:w="108" w:type="dxa"/>
                    <w:right w:w="108"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2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22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原味瓜子</w:t>
                  </w:r>
                </w:p>
              </w:tc>
              <w:tc>
                <w:tcPr>
                  <w:tcW w:w="1108"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1144"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2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222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多味瓜子</w:t>
                  </w:r>
                </w:p>
              </w:tc>
              <w:tc>
                <w:tcPr>
                  <w:tcW w:w="1108"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1144"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FF0000"/>
                      <w:sz w:val="21"/>
                      <w:szCs w:val="21"/>
                      <w:highlight w:val="none"/>
                      <w:lang w:val="en-US" w:eastAsia="zh-CN"/>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2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222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辣椒</w:t>
                  </w:r>
                </w:p>
              </w:tc>
              <w:tc>
                <w:tcPr>
                  <w:tcW w:w="1108"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1144"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1125</w:t>
                  </w:r>
                </w:p>
              </w:tc>
            </w:tr>
          </w:tbl>
          <w:p>
            <w:pPr>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eastAsia="宋体"/>
                <w:b/>
                <w:color w:val="auto"/>
                <w:sz w:val="24"/>
                <w:highlight w:val="none"/>
                <w:lang w:val="en-US" w:eastAsia="zh-CN"/>
              </w:rPr>
            </w:pPr>
            <w:r>
              <w:rPr>
                <w:rFonts w:hint="eastAsia"/>
                <w:b/>
                <w:color w:val="auto"/>
                <w:sz w:val="24"/>
                <w:highlight w:val="none"/>
                <w:lang w:val="en-US" w:eastAsia="zh-CN"/>
              </w:rPr>
              <w:t>5</w:t>
            </w:r>
            <w:r>
              <w:rPr>
                <w:b/>
                <w:color w:val="auto"/>
                <w:sz w:val="24"/>
                <w:highlight w:val="none"/>
              </w:rPr>
              <w:t>、</w:t>
            </w:r>
            <w:r>
              <w:rPr>
                <w:b/>
                <w:color w:val="auto"/>
                <w:kern w:val="21"/>
                <w:sz w:val="24"/>
                <w:highlight w:val="none"/>
              </w:rPr>
              <w:t>主要原辅材料</w:t>
            </w:r>
          </w:p>
          <w:p>
            <w:pPr>
              <w:pStyle w:val="38"/>
              <w:spacing w:line="24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2-4</w:t>
            </w:r>
            <w:r>
              <w:rPr>
                <w:rFonts w:hint="default" w:ascii="Times New Roman" w:hAnsi="Times New Roman" w:eastAsia="宋体" w:cs="Times New Roman"/>
                <w:color w:val="auto"/>
                <w:sz w:val="24"/>
                <w:szCs w:val="24"/>
              </w:rPr>
              <w:t xml:space="preserve"> 项目原材料消耗一览表</w:t>
            </w:r>
          </w:p>
          <w:tbl>
            <w:tblPr>
              <w:tblStyle w:val="23"/>
              <w:tblW w:w="4995"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710"/>
              <w:gridCol w:w="1204"/>
              <w:gridCol w:w="923"/>
              <w:gridCol w:w="1016"/>
              <w:gridCol w:w="1618"/>
              <w:gridCol w:w="1248"/>
              <w:gridCol w:w="1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442"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序号</w:t>
                  </w:r>
                </w:p>
              </w:tc>
              <w:tc>
                <w:tcPr>
                  <w:tcW w:w="750"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名称</w:t>
                  </w:r>
                </w:p>
              </w:tc>
              <w:tc>
                <w:tcPr>
                  <w:tcW w:w="575"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单位</w:t>
                  </w:r>
                </w:p>
              </w:tc>
              <w:tc>
                <w:tcPr>
                  <w:tcW w:w="633"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年用量</w:t>
                  </w:r>
                </w:p>
              </w:tc>
              <w:tc>
                <w:tcPr>
                  <w:tcW w:w="1009"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包装</w:t>
                  </w:r>
                </w:p>
              </w:tc>
              <w:tc>
                <w:tcPr>
                  <w:tcW w:w="778"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储存地点</w:t>
                  </w:r>
                </w:p>
              </w:tc>
              <w:tc>
                <w:tcPr>
                  <w:tcW w:w="809"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442"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1</w:t>
                  </w:r>
                </w:p>
              </w:tc>
              <w:tc>
                <w:tcPr>
                  <w:tcW w:w="750"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葵花子</w:t>
                  </w:r>
                </w:p>
              </w:tc>
              <w:tc>
                <w:tcPr>
                  <w:tcW w:w="575"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吨</w:t>
                  </w:r>
                </w:p>
              </w:tc>
              <w:tc>
                <w:tcPr>
                  <w:tcW w:w="633"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eastAsia" w:cs="Times New Roman"/>
                      <w:color w:val="auto"/>
                      <w:sz w:val="21"/>
                      <w:szCs w:val="21"/>
                      <w:highlight w:val="none"/>
                      <w:lang w:val="en-US" w:eastAsia="zh-CN"/>
                    </w:rPr>
                    <w:t>400</w:t>
                  </w:r>
                </w:p>
              </w:tc>
              <w:tc>
                <w:tcPr>
                  <w:tcW w:w="10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袋装，</w:t>
                  </w:r>
                  <w:r>
                    <w:rPr>
                      <w:rFonts w:hint="default" w:ascii="Times New Roman" w:hAnsi="Times New Roman" w:eastAsia="宋体" w:cs="Times New Roman"/>
                      <w:color w:val="auto"/>
                      <w:sz w:val="21"/>
                      <w:szCs w:val="21"/>
                      <w:highlight w:val="none"/>
                      <w:lang w:val="en-US" w:eastAsia="zh-CN"/>
                    </w:rPr>
                    <w:t>50kg/袋</w:t>
                  </w:r>
                </w:p>
              </w:tc>
              <w:tc>
                <w:tcPr>
                  <w:tcW w:w="778"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原料库</w:t>
                  </w:r>
                </w:p>
              </w:tc>
              <w:tc>
                <w:tcPr>
                  <w:tcW w:w="8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汽运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442"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2</w:t>
                  </w:r>
                </w:p>
              </w:tc>
              <w:tc>
                <w:tcPr>
                  <w:tcW w:w="750"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大料</w:t>
                  </w:r>
                </w:p>
              </w:tc>
              <w:tc>
                <w:tcPr>
                  <w:tcW w:w="575"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吨</w:t>
                  </w:r>
                </w:p>
              </w:tc>
              <w:tc>
                <w:tcPr>
                  <w:tcW w:w="633"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0</w:t>
                  </w:r>
                </w:p>
              </w:tc>
              <w:tc>
                <w:tcPr>
                  <w:tcW w:w="10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袋装，</w:t>
                  </w:r>
                  <w:r>
                    <w:rPr>
                      <w:rFonts w:hint="default" w:ascii="Times New Roman" w:hAnsi="Times New Roman" w:eastAsia="宋体" w:cs="Times New Roman"/>
                      <w:color w:val="auto"/>
                      <w:sz w:val="21"/>
                      <w:szCs w:val="21"/>
                      <w:highlight w:val="none"/>
                      <w:lang w:val="en-US" w:eastAsia="zh-CN"/>
                    </w:rPr>
                    <w:t>50kg/袋</w:t>
                  </w:r>
                </w:p>
              </w:tc>
              <w:tc>
                <w:tcPr>
                  <w:tcW w:w="778"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调料库</w:t>
                  </w:r>
                </w:p>
              </w:tc>
              <w:tc>
                <w:tcPr>
                  <w:tcW w:w="8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八角、花椒、桂皮等调味料，汽运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442"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3</w:t>
                  </w:r>
                </w:p>
              </w:tc>
              <w:tc>
                <w:tcPr>
                  <w:tcW w:w="750"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白砂糖</w:t>
                  </w:r>
                </w:p>
              </w:tc>
              <w:tc>
                <w:tcPr>
                  <w:tcW w:w="575"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吨</w:t>
                  </w:r>
                </w:p>
              </w:tc>
              <w:tc>
                <w:tcPr>
                  <w:tcW w:w="633"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p>
              </w:tc>
              <w:tc>
                <w:tcPr>
                  <w:tcW w:w="10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袋装，</w:t>
                  </w:r>
                  <w:r>
                    <w:rPr>
                      <w:rFonts w:hint="default" w:ascii="Times New Roman" w:hAnsi="Times New Roman" w:eastAsia="宋体" w:cs="Times New Roman"/>
                      <w:color w:val="auto"/>
                      <w:sz w:val="21"/>
                      <w:szCs w:val="21"/>
                      <w:highlight w:val="none"/>
                      <w:lang w:val="en-US" w:eastAsia="zh-CN"/>
                    </w:rPr>
                    <w:t>50kg/袋</w:t>
                  </w:r>
                </w:p>
              </w:tc>
              <w:tc>
                <w:tcPr>
                  <w:tcW w:w="778"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eastAsia="zh-CN" w:bidi="ar"/>
                    </w:rPr>
                    <w:t>原料</w:t>
                  </w:r>
                  <w:r>
                    <w:rPr>
                      <w:rFonts w:hint="default" w:ascii="Times New Roman" w:hAnsi="Times New Roman" w:eastAsia="宋体" w:cs="Times New Roman"/>
                      <w:color w:val="auto"/>
                      <w:sz w:val="21"/>
                      <w:szCs w:val="21"/>
                      <w:highlight w:val="none"/>
                      <w:lang w:val="en-US" w:eastAsia="zh-CN"/>
                    </w:rPr>
                    <w:t>库</w:t>
                  </w:r>
                </w:p>
              </w:tc>
              <w:tc>
                <w:tcPr>
                  <w:tcW w:w="8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汽运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442"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750"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辣椒</w:t>
                  </w:r>
                </w:p>
              </w:tc>
              <w:tc>
                <w:tcPr>
                  <w:tcW w:w="575"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吨</w:t>
                  </w:r>
                </w:p>
              </w:tc>
              <w:tc>
                <w:tcPr>
                  <w:tcW w:w="633"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1565</w:t>
                  </w:r>
                </w:p>
              </w:tc>
              <w:tc>
                <w:tcPr>
                  <w:tcW w:w="10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袋装，</w:t>
                  </w:r>
                  <w:r>
                    <w:rPr>
                      <w:rFonts w:hint="default" w:ascii="Times New Roman" w:hAnsi="Times New Roman" w:eastAsia="宋体" w:cs="Times New Roman"/>
                      <w:color w:val="auto"/>
                      <w:sz w:val="21"/>
                      <w:szCs w:val="21"/>
                      <w:highlight w:val="none"/>
                      <w:lang w:val="en-US" w:eastAsia="zh-CN"/>
                    </w:rPr>
                    <w:t>50kg/袋</w:t>
                  </w:r>
                </w:p>
              </w:tc>
              <w:tc>
                <w:tcPr>
                  <w:tcW w:w="778"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原料库</w:t>
                  </w:r>
                </w:p>
              </w:tc>
              <w:tc>
                <w:tcPr>
                  <w:tcW w:w="8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汽运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442" w:type="pct"/>
                  <w:shd w:val="clear" w:color="000000" w:fill="FFFFFF"/>
                  <w:noWrap w:val="0"/>
                  <w:tcMar>
                    <w:left w:w="108" w:type="dxa"/>
                    <w:right w:w="10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750" w:type="pct"/>
                  <w:shd w:val="clear" w:color="000000" w:fill="FFFFFF"/>
                  <w:noWrap w:val="0"/>
                  <w:tcMar>
                    <w:left w:w="108" w:type="dxa"/>
                    <w:right w:w="10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食盐</w:t>
                  </w:r>
                </w:p>
              </w:tc>
              <w:tc>
                <w:tcPr>
                  <w:tcW w:w="575"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吨</w:t>
                  </w:r>
                </w:p>
              </w:tc>
              <w:tc>
                <w:tcPr>
                  <w:tcW w:w="633"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198</w:t>
                  </w:r>
                </w:p>
              </w:tc>
              <w:tc>
                <w:tcPr>
                  <w:tcW w:w="10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袋装，</w:t>
                  </w:r>
                  <w:r>
                    <w:rPr>
                      <w:rFonts w:hint="default" w:ascii="Times New Roman" w:hAnsi="Times New Roman" w:eastAsia="宋体" w:cs="Times New Roman"/>
                      <w:color w:val="auto"/>
                      <w:sz w:val="21"/>
                      <w:szCs w:val="21"/>
                      <w:highlight w:val="none"/>
                      <w:lang w:val="en-US" w:eastAsia="zh-CN"/>
                    </w:rPr>
                    <w:t>50kg/袋</w:t>
                  </w:r>
                </w:p>
              </w:tc>
              <w:tc>
                <w:tcPr>
                  <w:tcW w:w="778"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eastAsia="zh-CN" w:bidi="ar"/>
                    </w:rPr>
                    <w:t>原料</w:t>
                  </w:r>
                  <w:r>
                    <w:rPr>
                      <w:rFonts w:hint="default" w:ascii="Times New Roman" w:hAnsi="Times New Roman" w:eastAsia="宋体" w:cs="Times New Roman"/>
                      <w:color w:val="auto"/>
                      <w:sz w:val="21"/>
                      <w:szCs w:val="21"/>
                      <w:highlight w:val="none"/>
                      <w:lang w:val="en-US" w:eastAsia="zh-CN"/>
                    </w:rPr>
                    <w:t>库</w:t>
                  </w:r>
                </w:p>
              </w:tc>
              <w:tc>
                <w:tcPr>
                  <w:tcW w:w="809" w:type="pct"/>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汽运</w:t>
                  </w:r>
                </w:p>
              </w:tc>
            </w:tr>
          </w:tbl>
          <w:p>
            <w:pPr>
              <w:keepNext w:val="0"/>
              <w:keepLines/>
              <w:pageBreakBefore w:val="0"/>
              <w:widowControl w:val="0"/>
              <w:suppressLineNumbers w:val="0"/>
              <w:kinsoku/>
              <w:wordWrap/>
              <w:overflowPunct/>
              <w:topLinePunct/>
              <w:autoSpaceDE w:val="0"/>
              <w:autoSpaceDN/>
              <w:bidi w:val="0"/>
              <w:adjustRightInd w:val="0"/>
              <w:snapToGrid w:val="0"/>
              <w:spacing w:before="157" w:beforeLines="50" w:beforeAutospacing="0" w:after="0" w:afterAutospacing="0" w:line="360" w:lineRule="auto"/>
              <w:ind w:right="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、能源消耗</w:t>
            </w:r>
          </w:p>
          <w:p>
            <w:pPr>
              <w:keepNext w:val="0"/>
              <w:keepLines w:val="0"/>
              <w:pageBreakBefore w:val="0"/>
              <w:widowControl w:val="0"/>
              <w:suppressLineNumbers w:val="0"/>
              <w:kinsoku/>
              <w:wordWrap/>
              <w:overflowPunct/>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2-5</w:t>
            </w:r>
            <w:r>
              <w:rPr>
                <w:rFonts w:hint="default" w:ascii="Times New Roman" w:hAnsi="Times New Roman" w:eastAsia="宋体" w:cs="Times New Roman"/>
                <w:b/>
                <w:color w:val="auto"/>
                <w:sz w:val="24"/>
                <w:highlight w:val="none"/>
              </w:rPr>
              <w:t xml:space="preserve"> 项目能源消耗一览表</w:t>
            </w:r>
          </w:p>
          <w:tbl>
            <w:tblPr>
              <w:tblStyle w:val="24"/>
              <w:tblW w:w="803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89"/>
              <w:gridCol w:w="2164"/>
              <w:gridCol w:w="3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41"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编号</w:t>
                  </w:r>
                </w:p>
              </w:tc>
              <w:tc>
                <w:tcPr>
                  <w:tcW w:w="148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2164"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消耗量（单位）</w:t>
                  </w:r>
                </w:p>
              </w:tc>
              <w:tc>
                <w:tcPr>
                  <w:tcW w:w="363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41"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48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w:t>
                  </w:r>
                </w:p>
              </w:tc>
              <w:tc>
                <w:tcPr>
                  <w:tcW w:w="2164"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51.65万KWh/a</w:t>
                  </w:r>
                </w:p>
              </w:tc>
              <w:tc>
                <w:tcPr>
                  <w:tcW w:w="363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由市政电网供给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41"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48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w:t>
                  </w:r>
                </w:p>
              </w:tc>
              <w:tc>
                <w:tcPr>
                  <w:tcW w:w="2164"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p>
              </w:tc>
              <w:tc>
                <w:tcPr>
                  <w:tcW w:w="363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由</w:t>
                  </w:r>
                  <w:r>
                    <w:rPr>
                      <w:rFonts w:hint="eastAsia" w:ascii="Times New Roman" w:hAnsi="Times New Roman" w:eastAsia="宋体" w:cs="Times New Roman"/>
                      <w:color w:val="FF0000"/>
                      <w:szCs w:val="21"/>
                      <w:highlight w:val="none"/>
                      <w:lang w:val="en-US" w:eastAsia="zh-CN"/>
                    </w:rPr>
                    <w:t>市政自来水供水系统供给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41"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48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生物质燃料</w:t>
                  </w:r>
                </w:p>
              </w:tc>
              <w:tc>
                <w:tcPr>
                  <w:tcW w:w="2164"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0t/a</w:t>
                  </w:r>
                </w:p>
              </w:tc>
              <w:tc>
                <w:tcPr>
                  <w:tcW w:w="3639" w:type="dxa"/>
                  <w:noWrap w:val="0"/>
                  <w:vAlign w:val="center"/>
                </w:tcPr>
                <w:p>
                  <w:pPr>
                    <w:keepNext w:val="0"/>
                    <w:keepLines w:val="0"/>
                    <w:suppressLineNumbers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外购自鄂尔多斯市民信木业有限公司</w:t>
                  </w:r>
                </w:p>
              </w:tc>
            </w:tr>
          </w:tbl>
          <w:p>
            <w:pPr>
              <w:adjustRightInd w:val="0"/>
              <w:snapToGrid w:val="0"/>
              <w:spacing w:before="120" w:beforeLines="50" w:line="240" w:lineRule="auto"/>
              <w:jc w:val="center"/>
              <w:rPr>
                <w:rFonts w:hint="eastAsia"/>
                <w:b/>
                <w:color w:val="auto"/>
                <w:sz w:val="24"/>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2-6</w:t>
            </w:r>
            <w:r>
              <w:rPr>
                <w:rFonts w:hint="default" w:ascii="Times New Roman" w:hAnsi="Times New Roman" w:eastAsia="宋体" w:cs="Times New Roman"/>
                <w:b/>
                <w:color w:val="auto"/>
                <w:sz w:val="24"/>
                <w:szCs w:val="24"/>
                <w:highlight w:val="none"/>
              </w:rPr>
              <w:t xml:space="preserve"> </w:t>
            </w:r>
            <w:r>
              <w:rPr>
                <w:rFonts w:hint="eastAsia"/>
                <w:b/>
                <w:color w:val="auto"/>
                <w:sz w:val="24"/>
              </w:rPr>
              <w:t>生物质燃料成分表</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3096"/>
              <w:gridCol w:w="39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项目</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化验结果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全水分（Mr%）</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分析水（Mad%）</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灰分(Aad%空干基)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灰分(Aad%干基)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ind w:firstLine="1050" w:firstLineChars="500"/>
                    <w:rPr>
                      <w:bCs/>
                      <w:color w:val="auto"/>
                      <w:sz w:val="21"/>
                      <w:szCs w:val="21"/>
                    </w:rPr>
                  </w:pPr>
                  <w:r>
                    <w:rPr>
                      <w:bCs/>
                      <w:color w:val="auto"/>
                      <w:sz w:val="21"/>
                      <w:szCs w:val="21"/>
                    </w:rPr>
                    <w:t>挥发分(Vad%空干基)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81.98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ind w:firstLine="1050" w:firstLineChars="500"/>
                    <w:rPr>
                      <w:bCs/>
                      <w:color w:val="auto"/>
                      <w:sz w:val="21"/>
                      <w:szCs w:val="21"/>
                    </w:rPr>
                  </w:pPr>
                  <w:r>
                    <w:rPr>
                      <w:bCs/>
                      <w:color w:val="auto"/>
                      <w:sz w:val="21"/>
                      <w:szCs w:val="21"/>
                    </w:rPr>
                    <w:t>挥发分(Vad%干基)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82.72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ind w:firstLine="1050" w:firstLineChars="500"/>
                    <w:rPr>
                      <w:bCs/>
                      <w:color w:val="auto"/>
                      <w:sz w:val="21"/>
                      <w:szCs w:val="21"/>
                    </w:rPr>
                  </w:pPr>
                  <w:r>
                    <w:rPr>
                      <w:bCs/>
                      <w:color w:val="auto"/>
                      <w:sz w:val="21"/>
                      <w:szCs w:val="21"/>
                    </w:rPr>
                    <w:t>全硫（%空干基）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全硫（%干基）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固定碳(FCad%)</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15.12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65" w:type="dxa"/>
                  <w:gridSpan w:val="2"/>
                  <w:shd w:val="clear" w:color="auto" w:fill="auto"/>
                  <w:noWrap w:val="0"/>
                  <w:vAlign w:val="top"/>
                </w:tcPr>
                <w:p>
                  <w:pPr>
                    <w:adjustRightInd w:val="0"/>
                    <w:snapToGrid w:val="0"/>
                    <w:spacing w:line="240" w:lineRule="auto"/>
                    <w:jc w:val="center"/>
                    <w:rPr>
                      <w:bCs/>
                      <w:color w:val="auto"/>
                      <w:sz w:val="21"/>
                      <w:szCs w:val="21"/>
                    </w:rPr>
                  </w:pPr>
                  <w:r>
                    <w:rPr>
                      <w:rFonts w:hint="eastAsia"/>
                      <w:bCs/>
                      <w:color w:val="auto"/>
                      <w:sz w:val="21"/>
                      <w:szCs w:val="21"/>
                      <w:lang w:val="en-US" w:eastAsia="zh-CN"/>
                    </w:rPr>
                    <w:t>弹</w:t>
                  </w:r>
                  <w:r>
                    <w:rPr>
                      <w:bCs/>
                      <w:color w:val="auto"/>
                      <w:sz w:val="21"/>
                      <w:szCs w:val="21"/>
                    </w:rPr>
                    <w:t>筒发热量（Kcal/kg）</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4594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9" w:type="dxa"/>
                  <w:vMerge w:val="restart"/>
                  <w:shd w:val="clear" w:color="auto" w:fill="auto"/>
                  <w:noWrap w:val="0"/>
                  <w:vAlign w:val="top"/>
                </w:tcPr>
                <w:p>
                  <w:pPr>
                    <w:adjustRightInd w:val="0"/>
                    <w:snapToGrid w:val="0"/>
                    <w:spacing w:line="240" w:lineRule="auto"/>
                    <w:rPr>
                      <w:bCs/>
                      <w:color w:val="auto"/>
                      <w:sz w:val="21"/>
                      <w:szCs w:val="21"/>
                    </w:rPr>
                  </w:pPr>
                </w:p>
                <w:p>
                  <w:pPr>
                    <w:adjustRightInd w:val="0"/>
                    <w:snapToGrid w:val="0"/>
                    <w:spacing w:line="240" w:lineRule="auto"/>
                    <w:rPr>
                      <w:bCs/>
                      <w:color w:val="auto"/>
                      <w:sz w:val="21"/>
                      <w:szCs w:val="21"/>
                    </w:rPr>
                  </w:pPr>
                  <w:r>
                    <w:rPr>
                      <w:bCs/>
                      <w:color w:val="auto"/>
                      <w:sz w:val="21"/>
                      <w:szCs w:val="21"/>
                    </w:rPr>
                    <w:t>发热量</w:t>
                  </w:r>
                </w:p>
              </w:tc>
              <w:tc>
                <w:tcPr>
                  <w:tcW w:w="309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高位（Kcal/kg空干基）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4588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9" w:type="dxa"/>
                  <w:vMerge w:val="continue"/>
                  <w:shd w:val="clear" w:color="auto" w:fill="auto"/>
                  <w:noWrap w:val="0"/>
                  <w:vAlign w:val="top"/>
                </w:tcPr>
                <w:p>
                  <w:pPr>
                    <w:adjustRightInd w:val="0"/>
                    <w:snapToGrid w:val="0"/>
                    <w:spacing w:line="240" w:lineRule="auto"/>
                    <w:rPr>
                      <w:bCs/>
                      <w:color w:val="auto"/>
                      <w:sz w:val="21"/>
                      <w:szCs w:val="21"/>
                    </w:rPr>
                  </w:pPr>
                </w:p>
              </w:tc>
              <w:tc>
                <w:tcPr>
                  <w:tcW w:w="309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高位（Kcal/kg干基）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4630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9" w:type="dxa"/>
                  <w:vMerge w:val="continue"/>
                  <w:shd w:val="clear" w:color="auto" w:fill="auto"/>
                  <w:noWrap w:val="0"/>
                  <w:vAlign w:val="top"/>
                </w:tcPr>
                <w:p>
                  <w:pPr>
                    <w:adjustRightInd w:val="0"/>
                    <w:snapToGrid w:val="0"/>
                    <w:spacing w:line="240" w:lineRule="auto"/>
                    <w:jc w:val="center"/>
                    <w:rPr>
                      <w:bCs/>
                      <w:color w:val="auto"/>
                      <w:sz w:val="21"/>
                      <w:szCs w:val="21"/>
                    </w:rPr>
                  </w:pPr>
                </w:p>
              </w:tc>
              <w:tc>
                <w:tcPr>
                  <w:tcW w:w="309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低位（Kcal/kg收到基）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4020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9" w:type="dxa"/>
                  <w:vMerge w:val="continue"/>
                  <w:shd w:val="clear" w:color="auto" w:fill="auto"/>
                  <w:noWrap w:val="0"/>
                  <w:vAlign w:val="top"/>
                </w:tcPr>
                <w:p>
                  <w:pPr>
                    <w:adjustRightInd w:val="0"/>
                    <w:snapToGrid w:val="0"/>
                    <w:spacing w:line="240" w:lineRule="auto"/>
                    <w:jc w:val="center"/>
                    <w:rPr>
                      <w:bCs/>
                      <w:color w:val="auto"/>
                      <w:sz w:val="21"/>
                      <w:szCs w:val="21"/>
                    </w:rPr>
                  </w:pPr>
                </w:p>
              </w:tc>
              <w:tc>
                <w:tcPr>
                  <w:tcW w:w="309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低位（MJ/kg收到基）</w:t>
                  </w:r>
                </w:p>
              </w:tc>
              <w:tc>
                <w:tcPr>
                  <w:tcW w:w="3966" w:type="dxa"/>
                  <w:shd w:val="clear" w:color="auto" w:fill="auto"/>
                  <w:noWrap w:val="0"/>
                  <w:vAlign w:val="top"/>
                </w:tcPr>
                <w:p>
                  <w:pPr>
                    <w:adjustRightInd w:val="0"/>
                    <w:snapToGrid w:val="0"/>
                    <w:spacing w:line="240" w:lineRule="auto"/>
                    <w:jc w:val="center"/>
                    <w:rPr>
                      <w:bCs/>
                      <w:color w:val="auto"/>
                      <w:sz w:val="21"/>
                      <w:szCs w:val="21"/>
                    </w:rPr>
                  </w:pPr>
                  <w:r>
                    <w:rPr>
                      <w:bCs/>
                      <w:color w:val="auto"/>
                      <w:sz w:val="21"/>
                      <w:szCs w:val="21"/>
                    </w:rPr>
                    <w:t>16.81</w:t>
                  </w:r>
                </w:p>
              </w:tc>
            </w:tr>
          </w:tbl>
          <w:p>
            <w:pPr>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eastAsia" w:eastAsia="宋体"/>
                <w:b/>
                <w:color w:val="FF0000"/>
                <w:sz w:val="24"/>
                <w:lang w:eastAsia="zh-CN"/>
              </w:rPr>
            </w:pPr>
            <w:r>
              <w:rPr>
                <w:rFonts w:hint="eastAsia"/>
                <w:b/>
                <w:color w:val="FF0000"/>
                <w:sz w:val="24"/>
                <w:lang w:val="en-US" w:eastAsia="zh-CN"/>
              </w:rPr>
              <w:t>7</w:t>
            </w:r>
            <w:r>
              <w:rPr>
                <w:b/>
                <w:color w:val="FF0000"/>
                <w:sz w:val="24"/>
              </w:rPr>
              <w:t>、</w:t>
            </w:r>
            <w:r>
              <w:rPr>
                <w:rFonts w:hint="eastAsia"/>
                <w:b/>
                <w:color w:val="FF0000"/>
                <w:sz w:val="24"/>
                <w:lang w:val="en-US" w:eastAsia="zh-CN"/>
              </w:rPr>
              <w:t>物料平衡</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b/>
                <w:color w:val="FF0000"/>
                <w:sz w:val="24"/>
                <w:highlight w:val="none"/>
                <w:lang w:val="en-US" w:eastAsia="zh-CN"/>
              </w:rPr>
            </w:pPr>
            <w:r>
              <w:rPr>
                <w:rFonts w:hint="default" w:ascii="Times New Roman" w:hAnsi="Times New Roman" w:eastAsia="宋体" w:cs="Times New Roman"/>
                <w:color w:val="FF0000"/>
                <w:sz w:val="24"/>
                <w:highlight w:val="none"/>
                <w:lang w:val="en-US" w:eastAsia="zh-CN"/>
              </w:rPr>
              <w:t>项目物料平衡</w:t>
            </w:r>
            <w:r>
              <w:rPr>
                <w:rFonts w:hint="eastAsia" w:cs="Times New Roman"/>
                <w:color w:val="FF0000"/>
                <w:sz w:val="24"/>
                <w:highlight w:val="none"/>
                <w:lang w:val="en-US" w:eastAsia="zh-CN"/>
              </w:rPr>
              <w:t>图</w:t>
            </w:r>
            <w:r>
              <w:rPr>
                <w:rFonts w:hint="default" w:ascii="Times New Roman" w:hAnsi="Times New Roman" w:eastAsia="宋体" w:cs="Times New Roman"/>
                <w:color w:val="FF0000"/>
                <w:sz w:val="24"/>
                <w:highlight w:val="none"/>
                <w:lang w:val="en-US" w:eastAsia="zh-CN"/>
              </w:rPr>
              <w:t>见图</w:t>
            </w:r>
            <w:r>
              <w:rPr>
                <w:rFonts w:hint="eastAsia" w:cs="Times New Roman"/>
                <w:color w:val="FF0000"/>
                <w:sz w:val="24"/>
                <w:highlight w:val="none"/>
                <w:lang w:val="en-US" w:eastAsia="zh-CN"/>
              </w:rPr>
              <w:t>2-1</w:t>
            </w:r>
            <w:r>
              <w:rPr>
                <w:rFonts w:hint="default" w:ascii="Times New Roman" w:hAnsi="Times New Roman" w:eastAsia="宋体" w:cs="Times New Roman"/>
                <w:color w:val="FF0000"/>
                <w:sz w:val="24"/>
                <w:highlight w:val="none"/>
                <w:lang w:val="en-US" w:eastAsia="zh-CN"/>
              </w:rPr>
              <w:t>。</w:t>
            </w:r>
          </w:p>
          <w:p>
            <w:pPr>
              <w:keepNext w:val="0"/>
              <w:keepLines w:val="0"/>
              <w:pageBreakBefore w:val="0"/>
              <w:widowControl w:val="0"/>
              <w:suppressLineNumbers w:val="0"/>
              <w:kinsoku/>
              <w:wordWrap/>
              <w:overflowPunct/>
              <w:autoSpaceDN/>
              <w:bidi w:val="0"/>
              <w:spacing w:before="0" w:beforeAutospacing="0" w:after="0" w:afterAutospacing="0" w:line="240" w:lineRule="auto"/>
              <w:ind w:left="0" w:right="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080635" cy="4204335"/>
                  <wp:effectExtent l="0" t="0" r="0" b="5715"/>
                  <wp:docPr id="20" name="图片 20" descr="炒瓜子辣椒精选物料平衡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炒瓜子辣椒精选物料平衡图(1)"/>
                          <pic:cNvPicPr>
                            <a:picLocks noChangeAspect="1"/>
                          </pic:cNvPicPr>
                        </pic:nvPicPr>
                        <pic:blipFill>
                          <a:blip r:embed="rId10"/>
                          <a:srcRect t="3413" r="137" b="3986"/>
                          <a:stretch>
                            <a:fillRect/>
                          </a:stretch>
                        </pic:blipFill>
                        <pic:spPr>
                          <a:xfrm>
                            <a:off x="0" y="0"/>
                            <a:ext cx="5080635" cy="4204335"/>
                          </a:xfrm>
                          <a:prstGeom prst="rect">
                            <a:avLst/>
                          </a:prstGeom>
                        </pic:spPr>
                      </pic:pic>
                    </a:graphicData>
                  </a:graphic>
                </wp:inline>
              </w:drawing>
            </w:r>
          </w:p>
          <w:p>
            <w:pPr>
              <w:pStyle w:val="6"/>
              <w:keepNext w:val="0"/>
              <w:keepLines w:val="0"/>
              <w:suppressLineNumbers w:val="0"/>
              <w:spacing w:before="0" w:beforeAutospacing="0" w:after="0" w:afterAutospacing="0" w:line="240" w:lineRule="auto"/>
              <w:ind w:left="0" w:leftChars="0" w:right="0" w:firstLine="0" w:firstLineChars="0"/>
              <w:jc w:val="center"/>
              <w:rPr>
                <w:rFonts w:hint="eastAsia"/>
                <w:b/>
                <w:color w:val="FF0000"/>
                <w:sz w:val="24"/>
                <w:highlight w:val="none"/>
                <w:lang w:val="en-US" w:eastAsia="zh-CN"/>
              </w:rPr>
            </w:pPr>
            <w:r>
              <w:rPr>
                <w:rFonts w:hint="default" w:ascii="Times New Roman" w:hAnsi="Times New Roman" w:eastAsia="宋体" w:cs="Times New Roman"/>
                <w:b/>
                <w:bCs/>
                <w:color w:val="FF0000"/>
                <w:sz w:val="24"/>
                <w:szCs w:val="32"/>
                <w:highlight w:val="none"/>
                <w:lang w:eastAsia="zh-CN"/>
              </w:rPr>
              <w:t>图</w:t>
            </w:r>
            <w:r>
              <w:rPr>
                <w:rFonts w:hint="default" w:ascii="Times New Roman" w:hAnsi="Times New Roman" w:eastAsia="宋体" w:cs="Times New Roman"/>
                <w:b/>
                <w:bCs/>
                <w:color w:val="FF0000"/>
                <w:sz w:val="24"/>
                <w:szCs w:val="32"/>
                <w:highlight w:val="none"/>
                <w:lang w:val="en-US" w:eastAsia="zh-CN"/>
              </w:rPr>
              <w:t>2-1 物料平衡图</w:t>
            </w:r>
          </w:p>
          <w:p>
            <w:pPr>
              <w:keepNext w:val="0"/>
              <w:keepLines w:val="0"/>
              <w:pageBreakBefore w:val="0"/>
              <w:widowControl w:val="0"/>
              <w:kinsoku/>
              <w:wordWrap/>
              <w:overflowPunct/>
              <w:topLinePunct w:val="0"/>
              <w:autoSpaceDE/>
              <w:autoSpaceDN/>
              <w:bidi w:val="0"/>
              <w:adjustRightInd w:val="0"/>
              <w:snapToGrid w:val="0"/>
              <w:spacing w:before="157" w:beforeLines="50"/>
              <w:textAlignment w:val="auto"/>
              <w:rPr>
                <w:b/>
                <w:color w:val="auto"/>
                <w:sz w:val="24"/>
              </w:rPr>
            </w:pPr>
            <w:r>
              <w:rPr>
                <w:rFonts w:hint="eastAsia"/>
                <w:b/>
                <w:color w:val="auto"/>
                <w:sz w:val="24"/>
                <w:lang w:val="en-US" w:eastAsia="zh-CN"/>
              </w:rPr>
              <w:t>8</w:t>
            </w:r>
            <w:r>
              <w:rPr>
                <w:b/>
                <w:color w:val="auto"/>
                <w:sz w:val="24"/>
              </w:rPr>
              <w:t>、公用工程</w:t>
            </w:r>
          </w:p>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rPr>
              <w:t>给排水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1）给水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用水</w:t>
            </w:r>
            <w:r>
              <w:rPr>
                <w:rFonts w:hint="eastAsia" w:cs="Times New Roman"/>
                <w:color w:val="auto"/>
                <w:sz w:val="24"/>
                <w:highlight w:val="none"/>
                <w:lang w:val="en-US" w:eastAsia="zh-CN"/>
              </w:rPr>
              <w:t>由</w:t>
            </w:r>
            <w:r>
              <w:rPr>
                <w:rFonts w:hint="default" w:ascii="Times New Roman" w:hAnsi="Times New Roman" w:eastAsia="宋体" w:cs="Times New Roman"/>
                <w:color w:val="auto"/>
                <w:sz w:val="24"/>
                <w:highlight w:val="none"/>
                <w:lang w:eastAsia="zh-CN"/>
              </w:rPr>
              <w:t>市政自来水供水系统供</w:t>
            </w:r>
            <w:r>
              <w:rPr>
                <w:rFonts w:hint="eastAsia" w:cs="Times New Roman"/>
                <w:color w:val="auto"/>
                <w:sz w:val="24"/>
                <w:highlight w:val="none"/>
                <w:lang w:val="en-US" w:eastAsia="zh-CN"/>
              </w:rPr>
              <w:t>给，</w:t>
            </w:r>
            <w:r>
              <w:rPr>
                <w:rFonts w:hint="default" w:ascii="Times New Roman" w:hAnsi="Times New Roman" w:eastAsia="宋体" w:cs="Times New Roman"/>
                <w:color w:val="auto"/>
                <w:sz w:val="24"/>
                <w:highlight w:val="none"/>
                <w:lang w:eastAsia="zh-CN"/>
              </w:rPr>
              <w:t>主要包括煮锅内水煮瓜子过程中添加的新鲜水和职工生活用水</w:t>
            </w:r>
            <w:r>
              <w:rPr>
                <w:rFonts w:hint="eastAsia" w:cs="Times New Roman"/>
                <w:color w:val="auto"/>
                <w:sz w:val="24"/>
                <w:highlight w:val="none"/>
                <w:lang w:eastAsia="zh-CN"/>
              </w:rPr>
              <w:t>，</w:t>
            </w:r>
            <w:r>
              <w:rPr>
                <w:rFonts w:hint="eastAsia" w:cs="Times New Roman"/>
                <w:color w:val="auto"/>
                <w:sz w:val="24"/>
                <w:highlight w:val="none"/>
                <w:lang w:val="en-US" w:eastAsia="zh-CN"/>
              </w:rPr>
              <w:t>用水总量为</w:t>
            </w:r>
            <w:r>
              <w:rPr>
                <w:rFonts w:hint="eastAsia" w:cs="Times New Roman"/>
                <w:color w:val="FF0000"/>
                <w:sz w:val="24"/>
                <w:highlight w:val="none"/>
                <w:lang w:val="en-US" w:eastAsia="zh-CN"/>
              </w:rPr>
              <w:t>3.42</w:t>
            </w:r>
            <w:r>
              <w:rPr>
                <w:rFonts w:hint="default" w:ascii="Times New Roman" w:hAnsi="Times New Roman" w:eastAsia="宋体" w:cs="Times New Roman"/>
                <w:color w:val="FF0000"/>
                <w:sz w:val="24"/>
                <w:highlight w:val="none"/>
              </w:rPr>
              <w:t>m</w:t>
            </w:r>
            <w:r>
              <w:rPr>
                <w:rFonts w:hint="default" w:ascii="Times New Roman" w:hAnsi="Times New Roman" w:eastAsia="宋体" w:cs="Times New Roman"/>
                <w:color w:val="FF0000"/>
                <w:sz w:val="24"/>
                <w:highlight w:val="none"/>
                <w:vertAlign w:val="superscript"/>
                <w:lang w:val="en-US" w:eastAsia="zh-CN"/>
              </w:rPr>
              <w:t>3</w:t>
            </w:r>
            <w:r>
              <w:rPr>
                <w:rFonts w:hint="default" w:ascii="Times New Roman" w:hAnsi="Times New Roman" w:eastAsia="宋体" w:cs="Times New Roman"/>
                <w:color w:val="FF0000"/>
                <w:sz w:val="24"/>
                <w:highlight w:val="none"/>
                <w:lang w:val="en-US" w:eastAsia="zh-CN"/>
              </w:rPr>
              <w:t>/d</w:t>
            </w:r>
            <w:r>
              <w:rPr>
                <w:rFonts w:hint="eastAsia" w:cs="Times New Roman"/>
                <w:color w:val="FF0000"/>
                <w:sz w:val="24"/>
                <w:szCs w:val="24"/>
                <w:highlight w:val="none"/>
                <w:lang w:val="en-US" w:eastAsia="zh-CN"/>
              </w:rPr>
              <w:t>（</w:t>
            </w:r>
            <w:r>
              <w:rPr>
                <w:rFonts w:hint="eastAsia" w:cs="Times New Roman"/>
                <w:color w:val="FF0000"/>
                <w:sz w:val="24"/>
                <w:highlight w:val="none"/>
                <w:lang w:val="en-US" w:eastAsia="zh-CN"/>
              </w:rPr>
              <w:t>342</w:t>
            </w:r>
            <w:r>
              <w:rPr>
                <w:rFonts w:hint="eastAsia" w:cs="Times New Roman"/>
                <w:color w:val="FF0000"/>
                <w:sz w:val="24"/>
                <w:szCs w:val="24"/>
                <w:highlight w:val="none"/>
                <w:lang w:val="en-US" w:eastAsia="zh-CN"/>
              </w:rPr>
              <w:t>m</w:t>
            </w:r>
            <w:r>
              <w:rPr>
                <w:rFonts w:hint="eastAsia" w:cs="Times New Roman"/>
                <w:color w:val="FF0000"/>
                <w:sz w:val="24"/>
                <w:szCs w:val="24"/>
                <w:highlight w:val="none"/>
                <w:vertAlign w:val="superscript"/>
                <w:lang w:val="en-US" w:eastAsia="zh-CN"/>
              </w:rPr>
              <w:t>3</w:t>
            </w:r>
            <w:r>
              <w:rPr>
                <w:rFonts w:hint="eastAsia" w:cs="Times New Roman"/>
                <w:color w:val="FF0000"/>
                <w:sz w:val="24"/>
                <w:szCs w:val="24"/>
                <w:highlight w:val="none"/>
                <w:lang w:val="en-US" w:eastAsia="zh-CN"/>
              </w:rPr>
              <w:t>/a）</w:t>
            </w:r>
            <w:r>
              <w:rPr>
                <w:rFonts w:hint="default" w:ascii="Times New Roman" w:hAnsi="Times New Roman" w:eastAsia="宋体" w:cs="Times New Roman"/>
                <w:color w:val="FF0000"/>
                <w:sz w:val="24"/>
                <w:highlight w:val="none"/>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①水煮瓜子过程添加的新鲜水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FF0000"/>
                <w:sz w:val="24"/>
                <w:highlight w:val="none"/>
              </w:rPr>
              <w:t>采用行吊将盛有瓜子的锅篦子吊至煮锅内进行水煮，水煮过程因蒸发耗散需定期添加新鲜水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根据同类企业实际生产经验，每生产lt瓜子，用水量约0.6m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项目年生产</w:t>
            </w:r>
            <w:r>
              <w:rPr>
                <w:rFonts w:hint="eastAsia" w:cs="Times New Roman"/>
                <w:color w:val="FF0000"/>
                <w:sz w:val="24"/>
                <w:highlight w:val="none"/>
                <w:lang w:val="en-US" w:eastAsia="zh-CN"/>
              </w:rPr>
              <w:t>100d，年生产多味瓜子370</w:t>
            </w:r>
            <w:r>
              <w:rPr>
                <w:rFonts w:hint="default" w:ascii="Times New Roman" w:hAnsi="Times New Roman" w:eastAsia="宋体" w:cs="Times New Roman"/>
                <w:color w:val="FF0000"/>
                <w:sz w:val="24"/>
                <w:highlight w:val="none"/>
              </w:rPr>
              <w:t>t</w:t>
            </w:r>
            <w:r>
              <w:rPr>
                <w:rFonts w:hint="eastAsia" w:cs="Times New Roman"/>
                <w:color w:val="FF0000"/>
                <w:sz w:val="24"/>
                <w:highlight w:val="none"/>
                <w:lang w:eastAsia="zh-CN"/>
              </w:rPr>
              <w:t>，</w:t>
            </w:r>
            <w:r>
              <w:rPr>
                <w:rFonts w:hint="default" w:ascii="Times New Roman" w:hAnsi="Times New Roman" w:eastAsia="宋体" w:cs="Times New Roman"/>
                <w:color w:val="FF0000"/>
                <w:sz w:val="24"/>
                <w:highlight w:val="none"/>
              </w:rPr>
              <w:t>则补充水量为</w:t>
            </w:r>
            <w:r>
              <w:rPr>
                <w:rFonts w:hint="eastAsia" w:cs="Times New Roman"/>
                <w:color w:val="FF0000"/>
                <w:sz w:val="24"/>
                <w:highlight w:val="none"/>
                <w:lang w:val="en-US" w:eastAsia="zh-CN"/>
              </w:rPr>
              <w:t>2.22</w:t>
            </w:r>
            <w:r>
              <w:rPr>
                <w:rFonts w:hint="default" w:ascii="Times New Roman" w:hAnsi="Times New Roman" w:eastAsia="宋体" w:cs="Times New Roman"/>
                <w:color w:val="FF0000"/>
                <w:sz w:val="24"/>
                <w:highlight w:val="none"/>
              </w:rPr>
              <w:t>m</w:t>
            </w:r>
            <w:r>
              <w:rPr>
                <w:rFonts w:hint="default" w:ascii="Times New Roman" w:hAnsi="Times New Roman" w:eastAsia="宋体" w:cs="Times New Roman"/>
                <w:color w:val="FF0000"/>
                <w:sz w:val="24"/>
                <w:highlight w:val="none"/>
                <w:vertAlign w:val="superscript"/>
                <w:lang w:val="en-US" w:eastAsia="zh-CN"/>
              </w:rPr>
              <w:t>3</w:t>
            </w:r>
            <w:r>
              <w:rPr>
                <w:rFonts w:hint="default" w:ascii="Times New Roman" w:hAnsi="Times New Roman" w:eastAsia="宋体" w:cs="Times New Roman"/>
                <w:color w:val="FF0000"/>
                <w:sz w:val="24"/>
                <w:highlight w:val="none"/>
                <w:lang w:val="en-US" w:eastAsia="zh-CN"/>
              </w:rPr>
              <w:t>/d</w:t>
            </w:r>
            <w:r>
              <w:rPr>
                <w:rFonts w:hint="eastAsia" w:cs="Times New Roman"/>
                <w:color w:val="FF0000"/>
                <w:sz w:val="24"/>
                <w:highlight w:val="none"/>
                <w:lang w:eastAsia="zh-CN"/>
              </w:rPr>
              <w:t>（</w:t>
            </w:r>
            <w:r>
              <w:rPr>
                <w:rFonts w:hint="eastAsia" w:cs="Times New Roman"/>
                <w:color w:val="FF0000"/>
                <w:sz w:val="24"/>
                <w:highlight w:val="none"/>
                <w:lang w:val="en-US" w:eastAsia="zh-CN"/>
              </w:rPr>
              <w:t>222</w:t>
            </w:r>
            <w:r>
              <w:rPr>
                <w:rFonts w:hint="eastAsia" w:cs="Times New Roman"/>
                <w:color w:val="FF0000"/>
                <w:sz w:val="24"/>
                <w:szCs w:val="24"/>
                <w:highlight w:val="none"/>
                <w:lang w:val="en-US" w:eastAsia="zh-CN"/>
              </w:rPr>
              <w:t>m</w:t>
            </w:r>
            <w:r>
              <w:rPr>
                <w:rFonts w:hint="eastAsia" w:cs="Times New Roman"/>
                <w:color w:val="FF0000"/>
                <w:sz w:val="24"/>
                <w:szCs w:val="24"/>
                <w:highlight w:val="none"/>
                <w:vertAlign w:val="superscript"/>
                <w:lang w:val="en-US" w:eastAsia="zh-CN"/>
              </w:rPr>
              <w:t>3</w:t>
            </w:r>
            <w:r>
              <w:rPr>
                <w:rFonts w:hint="eastAsia" w:cs="Times New Roman"/>
                <w:color w:val="FF0000"/>
                <w:sz w:val="24"/>
                <w:szCs w:val="24"/>
                <w:highlight w:val="none"/>
                <w:lang w:val="en-US" w:eastAsia="zh-CN"/>
              </w:rPr>
              <w:t>/a</w:t>
            </w:r>
            <w:r>
              <w:rPr>
                <w:rFonts w:hint="eastAsia" w:cs="Times New Roman"/>
                <w:color w:val="FF0000"/>
                <w:sz w:val="24"/>
                <w:highlight w:val="none"/>
                <w:lang w:eastAsia="zh-CN"/>
              </w:rPr>
              <w:t>）</w:t>
            </w:r>
            <w:r>
              <w:rPr>
                <w:rFonts w:hint="default" w:ascii="Times New Roman" w:hAnsi="Times New Roman" w:eastAsia="宋体" w:cs="Times New Roman"/>
                <w:color w:val="FF0000"/>
                <w:sz w:val="24"/>
                <w:highlight w:val="none"/>
              </w:rPr>
              <w:t>，连续生产不外排。</w:t>
            </w:r>
          </w:p>
          <w:p>
            <w:pPr>
              <w:pStyle w:val="7"/>
              <w:keepNext w:val="0"/>
              <w:keepLines w:val="0"/>
              <w:pageBreakBefore w:val="0"/>
              <w:widowControl w:val="0"/>
              <w:suppressLineNumbers w:val="0"/>
              <w:kinsoku/>
              <w:wordWrap/>
              <w:overflowPunct/>
              <w:autoSpaceDN/>
              <w:bidi w:val="0"/>
              <w:spacing w:before="0" w:beforeAutospacing="0" w:after="0" w:afterLines="0" w:afterAutospacing="0" w:line="360" w:lineRule="auto"/>
              <w:ind w:left="0" w:leftChars="0" w:right="0" w:firstLine="48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②生活用水</w:t>
            </w:r>
          </w:p>
          <w:p>
            <w:pPr>
              <w:pStyle w:val="7"/>
              <w:keepNext w:val="0"/>
              <w:keepLines w:val="0"/>
              <w:pageBreakBefore w:val="0"/>
              <w:widowControl w:val="0"/>
              <w:suppressLineNumbers w:val="0"/>
              <w:kinsoku/>
              <w:wordWrap/>
              <w:overflowPunct/>
              <w:autoSpaceDN/>
              <w:bidi w:val="0"/>
              <w:spacing w:before="0" w:beforeAutospacing="0" w:after="0" w:afterLines="0" w:afterAutospacing="0" w:line="360" w:lineRule="auto"/>
              <w:ind w:left="0" w:leftChars="0" w:right="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本项目劳动定员</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人，均为周边村民，项目区内不设置食宿。根据</w:t>
            </w:r>
            <w:r>
              <w:rPr>
                <w:rFonts w:hint="eastAsia" w:eastAsia="宋体" w:cs="Times New Roman"/>
                <w:color w:val="auto"/>
                <w:sz w:val="24"/>
                <w:highlight w:val="none"/>
                <w:lang w:val="en-US" w:eastAsia="zh-CN"/>
              </w:rPr>
              <w:t>内蒙古自治区</w:t>
            </w:r>
            <w:r>
              <w:rPr>
                <w:rFonts w:hint="default" w:ascii="Times New Roman" w:hAnsi="Times New Roman" w:eastAsia="宋体" w:cs="Times New Roman"/>
                <w:color w:val="auto"/>
                <w:sz w:val="24"/>
                <w:highlight w:val="none"/>
                <w:lang w:val="en-US" w:eastAsia="zh-CN"/>
              </w:rPr>
              <w:t>《行业用水定额》（DB</w:t>
            </w:r>
            <w:r>
              <w:rPr>
                <w:rFonts w:hint="eastAsia"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lang w:val="en-US" w:eastAsia="zh-CN"/>
              </w:rPr>
              <w:t>/T385-2020）农村居民用水定额为60L/（人·天），则生活用水量为</w:t>
            </w:r>
            <w:r>
              <w:rPr>
                <w:rFonts w:hint="eastAsia"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/d（</w:t>
            </w:r>
            <w:r>
              <w:rPr>
                <w:rFonts w:hint="eastAsia"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w:t>
            </w:r>
          </w:p>
          <w:p>
            <w:pPr>
              <w:pStyle w:val="7"/>
              <w:keepNext w:val="0"/>
              <w:keepLines w:val="0"/>
              <w:pageBreakBefore w:val="0"/>
              <w:widowControl w:val="0"/>
              <w:suppressLineNumbers w:val="0"/>
              <w:kinsoku/>
              <w:wordWrap/>
              <w:overflowPunct/>
              <w:autoSpaceDN/>
              <w:bidi w:val="0"/>
              <w:spacing w:before="0" w:beforeAutospacing="0" w:after="0" w:afterLines="0" w:afterAutospacing="0" w:line="360" w:lineRule="auto"/>
              <w:ind w:left="0" w:leftChars="0" w:right="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2）排水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4"/>
                <w:highlight w:val="yellow"/>
                <w:lang w:eastAsia="zh-CN"/>
              </w:rPr>
            </w:pPr>
            <w:r>
              <w:rPr>
                <w:rFonts w:hint="default" w:ascii="Times New Roman" w:hAnsi="Times New Roman" w:eastAsia="宋体" w:cs="Times New Roman"/>
                <w:color w:val="auto"/>
                <w:sz w:val="24"/>
                <w:highlight w:val="none"/>
              </w:rPr>
              <w:t>生活污水的排放系数按80%计，则本项目生活污水排放量为</w:t>
            </w:r>
            <w:r>
              <w:rPr>
                <w:rFonts w:hint="default" w:ascii="Times New Roman" w:hAnsi="Times New Roman" w:eastAsia="宋体"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96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/d（</w:t>
            </w:r>
            <w:r>
              <w:rPr>
                <w:rFonts w:hint="eastAsia" w:ascii="Times New Roman" w:hAnsi="Times New Roman" w:eastAsia="宋体" w:cs="Times New Roman"/>
                <w:color w:val="auto"/>
                <w:sz w:val="24"/>
                <w:highlight w:val="none"/>
                <w:lang w:val="en-US" w:eastAsia="zh-CN"/>
              </w:rPr>
              <w:t>96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/a），生活污水</w:t>
            </w:r>
            <w:r>
              <w:rPr>
                <w:rFonts w:hint="default" w:ascii="Times New Roman" w:hAnsi="Times New Roman" w:eastAsia="宋体" w:cs="Times New Roman"/>
                <w:color w:val="auto"/>
                <w:sz w:val="24"/>
                <w:highlight w:val="none"/>
                <w:lang w:eastAsia="zh-CN"/>
              </w:rPr>
              <w:t>排入</w:t>
            </w:r>
            <w:r>
              <w:rPr>
                <w:rFonts w:hint="eastAsia" w:cs="Times New Roman"/>
                <w:color w:val="auto"/>
                <w:sz w:val="24"/>
                <w:highlight w:val="none"/>
                <w:lang w:val="en-US" w:eastAsia="zh-CN"/>
              </w:rPr>
              <w:t>市政污水管网，</w:t>
            </w:r>
            <w:r>
              <w:rPr>
                <w:rFonts w:hint="eastAsia" w:cs="Times New Roman"/>
                <w:color w:val="FF0000"/>
                <w:sz w:val="24"/>
                <w:highlight w:val="none"/>
                <w:lang w:val="en-US" w:eastAsia="zh-CN"/>
              </w:rPr>
              <w:t>进银定图镇丰乐新村污水处理站进一步处理。</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3）水平衡</w:t>
            </w:r>
          </w:p>
          <w:p>
            <w:pPr>
              <w:keepNext w:val="0"/>
              <w:keepLines w:val="0"/>
              <w:pageBreakBefore w:val="0"/>
              <w:widowControl w:val="0"/>
              <w:suppressLineNumbers w:val="0"/>
              <w:kinsoku/>
              <w:wordWrap/>
              <w:overflowPunct/>
              <w:autoSpaceDN/>
              <w:bidi w:val="0"/>
              <w:spacing w:before="0" w:beforeAutospacing="0" w:after="0" w:afterAutospacing="0" w:line="240" w:lineRule="auto"/>
              <w:ind w:left="0" w:right="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020945" cy="1557020"/>
                  <wp:effectExtent l="0" t="0" r="0" b="5080"/>
                  <wp:docPr id="21" name="图片 21" descr="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水平衡"/>
                          <pic:cNvPicPr>
                            <a:picLocks noChangeAspect="1"/>
                          </pic:cNvPicPr>
                        </pic:nvPicPr>
                        <pic:blipFill>
                          <a:blip r:embed="rId11"/>
                          <a:srcRect t="10589" r="1372" b="8273"/>
                          <a:stretch>
                            <a:fillRect/>
                          </a:stretch>
                        </pic:blipFill>
                        <pic:spPr>
                          <a:xfrm>
                            <a:off x="0" y="0"/>
                            <a:ext cx="5020945" cy="1557020"/>
                          </a:xfrm>
                          <a:prstGeom prst="rect">
                            <a:avLst/>
                          </a:prstGeom>
                        </pic:spPr>
                      </pic:pic>
                    </a:graphicData>
                  </a:graphic>
                </wp:inline>
              </w:drawing>
            </w:r>
          </w:p>
          <w:p>
            <w:pPr>
              <w:keepNext w:val="0"/>
              <w:keepLines w:val="0"/>
              <w:pageBreakBefore w:val="0"/>
              <w:widowControl w:val="0"/>
              <w:suppressLineNumbers w:val="0"/>
              <w:kinsoku/>
              <w:wordWrap/>
              <w:overflowPunct/>
              <w:autoSpaceDN/>
              <w:bidi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4"/>
                <w:szCs w:val="24"/>
                <w:highlight w:val="yellow"/>
                <w:lang w:eastAsia="zh-CN"/>
              </w:rPr>
            </w:pPr>
            <w:r>
              <w:rPr>
                <w:rFonts w:hint="default" w:ascii="Times New Roman" w:hAnsi="Times New Roman" w:eastAsia="宋体" w:cs="Times New Roman"/>
                <w:b/>
                <w:bCs/>
                <w:color w:val="FF0000"/>
                <w:sz w:val="24"/>
                <w:szCs w:val="24"/>
                <w:highlight w:val="none"/>
              </w:rPr>
              <w:t>图</w:t>
            </w:r>
            <w:r>
              <w:rPr>
                <w:rFonts w:hint="default" w:ascii="Times New Roman" w:hAnsi="Times New Roman" w:eastAsia="宋体" w:cs="Times New Roman"/>
                <w:b/>
                <w:bCs/>
                <w:color w:val="FF0000"/>
                <w:sz w:val="24"/>
                <w:szCs w:val="24"/>
                <w:highlight w:val="none"/>
                <w:lang w:val="en-US" w:eastAsia="zh-CN"/>
              </w:rPr>
              <w:t>2-</w:t>
            </w:r>
            <w:r>
              <w:rPr>
                <w:rFonts w:hint="eastAsia"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rPr>
              <w:t xml:space="preserve"> 项目水平衡图</w:t>
            </w:r>
            <w:r>
              <w:rPr>
                <w:rFonts w:hint="eastAsia" w:cs="Times New Roman"/>
                <w:b/>
                <w:bCs/>
                <w:color w:val="FF0000"/>
                <w:sz w:val="24"/>
                <w:szCs w:val="24"/>
                <w:highlight w:val="none"/>
                <w:lang w:val="en-US" w:eastAsia="zh-CN"/>
              </w:rPr>
              <w:t>（</w:t>
            </w:r>
            <w:r>
              <w:rPr>
                <w:rFonts w:hint="default" w:ascii="Times New Roman" w:hAnsi="Times New Roman" w:eastAsia="宋体" w:cs="Times New Roman"/>
                <w:b/>
                <w:bCs/>
                <w:color w:val="FF0000"/>
                <w:sz w:val="24"/>
                <w:highlight w:val="none"/>
              </w:rPr>
              <w:t>m</w:t>
            </w:r>
            <w:r>
              <w:rPr>
                <w:rFonts w:hint="default" w:ascii="Times New Roman" w:hAnsi="Times New Roman" w:eastAsia="宋体" w:cs="Times New Roman"/>
                <w:b/>
                <w:bCs/>
                <w:color w:val="FF0000"/>
                <w:sz w:val="24"/>
                <w:highlight w:val="none"/>
                <w:vertAlign w:val="superscript"/>
                <w:lang w:val="en-US" w:eastAsia="zh-CN"/>
              </w:rPr>
              <w:t>3</w:t>
            </w:r>
            <w:r>
              <w:rPr>
                <w:rFonts w:hint="default" w:ascii="Times New Roman" w:hAnsi="Times New Roman" w:eastAsia="宋体" w:cs="Times New Roman"/>
                <w:b/>
                <w:bCs/>
                <w:color w:val="FF0000"/>
                <w:sz w:val="24"/>
                <w:highlight w:val="none"/>
              </w:rPr>
              <w:t>/d</w:t>
            </w:r>
            <w:r>
              <w:rPr>
                <w:rFonts w:hint="eastAsia" w:cs="Times New Roman"/>
                <w:b/>
                <w:bCs/>
                <w:color w:val="FF0000"/>
                <w:sz w:val="24"/>
                <w:highlight w:val="none"/>
                <w:lang w:eastAsia="zh-CN"/>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供电</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本项目供电由</w:t>
            </w:r>
            <w:r>
              <w:rPr>
                <w:rFonts w:hint="default" w:ascii="Times New Roman" w:hAnsi="Times New Roman" w:eastAsia="宋体" w:cs="Times New Roman"/>
                <w:color w:val="auto"/>
                <w:sz w:val="24"/>
                <w:szCs w:val="24"/>
                <w:highlight w:val="none"/>
                <w:lang w:eastAsia="zh-CN"/>
              </w:rPr>
              <w:t>五原县市政</w:t>
            </w:r>
            <w:r>
              <w:rPr>
                <w:rFonts w:hint="default" w:ascii="Times New Roman" w:hAnsi="Times New Roman" w:eastAsia="宋体" w:cs="Times New Roman"/>
                <w:color w:val="auto"/>
                <w:sz w:val="24"/>
                <w:szCs w:val="24"/>
                <w:highlight w:val="none"/>
              </w:rPr>
              <w:t>电网供给</w:t>
            </w:r>
            <w:r>
              <w:rPr>
                <w:rFonts w:hint="default" w:ascii="Times New Roman" w:hAnsi="Times New Roman" w:eastAsia="宋体" w:cs="Times New Roman"/>
                <w:color w:val="auto"/>
                <w:sz w:val="24"/>
                <w:szCs w:val="24"/>
                <w:highlight w:val="none"/>
                <w:lang w:eastAsia="zh-CN"/>
              </w:rPr>
              <w:t>，用电量为</w:t>
            </w:r>
            <w:r>
              <w:rPr>
                <w:rFonts w:hint="eastAsia" w:cs="Times New Roman"/>
                <w:color w:val="auto"/>
                <w:sz w:val="24"/>
                <w:szCs w:val="24"/>
                <w:highlight w:val="none"/>
                <w:lang w:val="en-US" w:eastAsia="zh-CN"/>
              </w:rPr>
              <w:t>51.65万</w:t>
            </w:r>
            <w:r>
              <w:rPr>
                <w:rFonts w:hint="default" w:ascii="Times New Roman" w:hAnsi="Times New Roman" w:eastAsia="宋体" w:cs="Times New Roman"/>
                <w:color w:val="auto"/>
                <w:sz w:val="24"/>
                <w:szCs w:val="24"/>
                <w:highlight w:val="none"/>
                <w:lang w:eastAsia="zh-CN"/>
              </w:rPr>
              <w:t>kw·h/a</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供暖</w:t>
            </w:r>
            <w:r>
              <w:rPr>
                <w:rFonts w:hint="eastAsia" w:cs="Times New Roman"/>
                <w:b/>
                <w:bCs/>
                <w:color w:val="auto"/>
                <w:sz w:val="24"/>
                <w:szCs w:val="24"/>
                <w:highlight w:val="none"/>
                <w:lang w:eastAsia="zh-CN"/>
              </w:rPr>
              <w:t>、</w:t>
            </w:r>
            <w:r>
              <w:rPr>
                <w:rFonts w:hint="eastAsia" w:cs="Times New Roman"/>
                <w:b/>
                <w:bCs/>
                <w:color w:val="auto"/>
                <w:sz w:val="24"/>
                <w:szCs w:val="24"/>
                <w:highlight w:val="none"/>
                <w:lang w:val="en-US" w:eastAsia="zh-CN"/>
              </w:rPr>
              <w:t>制冷</w:t>
            </w:r>
          </w:p>
          <w:p>
            <w:pPr>
              <w:adjustRightInd w:val="0"/>
              <w:snapToGrid w:val="0"/>
              <w:ind w:firstLine="480" w:firstLineChars="200"/>
              <w:rPr>
                <w:rFonts w:hint="default" w:ascii="Times New Roman" w:hAnsi="Times New Roman" w:eastAsia="宋体" w:cs="Times New Roman"/>
                <w:color w:val="FF0000"/>
                <w:sz w:val="24"/>
                <w:szCs w:val="24"/>
                <w:highlight w:val="none"/>
                <w:lang w:eastAsia="zh-CN"/>
              </w:rPr>
            </w:pPr>
            <w:r>
              <w:rPr>
                <w:rFonts w:hint="eastAsia" w:cs="Times New Roman"/>
                <w:color w:val="FF0000"/>
                <w:sz w:val="24"/>
                <w:szCs w:val="24"/>
                <w:highlight w:val="none"/>
                <w:lang w:val="en-US" w:eastAsia="zh-CN"/>
              </w:rPr>
              <w:t>项目</w:t>
            </w:r>
            <w:r>
              <w:rPr>
                <w:rFonts w:hint="default" w:ascii="Times New Roman" w:hAnsi="Times New Roman" w:eastAsia="宋体" w:cs="Times New Roman"/>
                <w:color w:val="FF0000"/>
                <w:sz w:val="24"/>
                <w:szCs w:val="24"/>
                <w:highlight w:val="none"/>
                <w:lang w:eastAsia="zh-CN"/>
              </w:rPr>
              <w:t>多味瓜子水煮工序煮锅、烘干工序热风炉和原味瓜子炒制工序炒货机均使用成型生物质燃料；辣椒烘干工序用热由电烘干机提供；办公室采用分体空调制冷、供暖。</w:t>
            </w:r>
          </w:p>
          <w:p>
            <w:pPr>
              <w:adjustRightInd w:val="0"/>
              <w:snapToGrid w:val="0"/>
              <w:rPr>
                <w:b/>
                <w:color w:val="auto"/>
                <w:sz w:val="24"/>
              </w:rPr>
            </w:pPr>
            <w:r>
              <w:rPr>
                <w:rFonts w:hint="eastAsia"/>
                <w:b/>
                <w:color w:val="auto"/>
                <w:sz w:val="24"/>
                <w:lang w:val="en-US" w:eastAsia="zh-CN"/>
              </w:rPr>
              <w:t>8</w:t>
            </w:r>
            <w:r>
              <w:rPr>
                <w:b/>
                <w:color w:val="auto"/>
                <w:sz w:val="24"/>
              </w:rPr>
              <w:t>、劳动定员及工作制度</w:t>
            </w:r>
          </w:p>
          <w:p>
            <w:pPr>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本项目劳动定员合计</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rPr>
              <w:t>人，</w:t>
            </w:r>
            <w:r>
              <w:rPr>
                <w:rFonts w:hint="default" w:ascii="Times New Roman" w:hAnsi="Times New Roman" w:eastAsia="宋体" w:cs="Times New Roman"/>
                <w:color w:val="auto"/>
                <w:sz w:val="24"/>
                <w:highlight w:val="none"/>
                <w:lang w:val="en-US" w:eastAsia="zh-CN"/>
              </w:rPr>
              <w:t>一班制</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每天</w:t>
            </w:r>
            <w:r>
              <w:rPr>
                <w:rFonts w:hint="default" w:ascii="Times New Roman" w:hAnsi="Times New Roman" w:eastAsia="宋体" w:cs="Times New Roman"/>
                <w:color w:val="auto"/>
                <w:sz w:val="24"/>
                <w:highlight w:val="none"/>
              </w:rPr>
              <w:t>工作</w:t>
            </w:r>
            <w:r>
              <w:rPr>
                <w:rFonts w:hint="eastAsia"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小时</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年工作日为</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0天。</w:t>
            </w:r>
          </w:p>
          <w:p>
            <w:pPr>
              <w:adjustRightInd w:val="0"/>
              <w:snapToGrid w:val="0"/>
              <w:rPr>
                <w:rFonts w:hint="default"/>
                <w:b/>
                <w:color w:val="auto"/>
                <w:sz w:val="24"/>
                <w:lang w:val="en-US" w:eastAsia="zh-CN"/>
              </w:rPr>
            </w:pPr>
            <w:r>
              <w:rPr>
                <w:rFonts w:hint="eastAsia"/>
                <w:b/>
                <w:color w:val="auto"/>
                <w:sz w:val="24"/>
                <w:lang w:val="en-US" w:eastAsia="zh-CN"/>
              </w:rPr>
              <w:t>9、总平面布置</w:t>
            </w:r>
          </w:p>
          <w:p>
            <w:pPr>
              <w:ind w:firstLine="480" w:firstLineChars="200"/>
              <w:rPr>
                <w:rFonts w:hint="default" w:eastAsia="宋体"/>
                <w:color w:val="auto"/>
                <w:sz w:val="24"/>
                <w:lang w:val="en-US" w:eastAsia="zh-CN"/>
              </w:rPr>
            </w:pPr>
            <w:r>
              <w:rPr>
                <w:rFonts w:hint="eastAsia"/>
                <w:color w:val="auto"/>
                <w:sz w:val="24"/>
                <w:lang w:val="en-US" w:eastAsia="zh-CN"/>
              </w:rPr>
              <w:t>项目厂区自南向北依次为加工车间、原料仓库，</w:t>
            </w:r>
            <w:r>
              <w:rPr>
                <w:rFonts w:hint="eastAsia"/>
                <w:color w:val="FF0000"/>
                <w:sz w:val="24"/>
                <w:highlight w:val="none"/>
                <w:lang w:val="en-US" w:eastAsia="zh-CN"/>
              </w:rPr>
              <w:t>原料仓库内建设保鲜库，厂区平面布置图见附图2。</w:t>
            </w:r>
            <w:r>
              <w:rPr>
                <w:rFonts w:hint="eastAsia"/>
                <w:color w:val="auto"/>
                <w:sz w:val="24"/>
                <w:lang w:val="en-US" w:eastAsia="zh-CN"/>
              </w:rPr>
              <w:t>加工车间内东侧由南到北依次为生产区（煮锅区、烘池、滚筒区）、包装室，加工车间内西侧由南到北依次为实验室、配料室、香料室、原味生产线、成品</w:t>
            </w:r>
            <w:r>
              <w:rPr>
                <w:rFonts w:hint="eastAsia" w:ascii="Times New Roman" w:hAnsi="Times New Roman" w:eastAsia="宋体" w:cs="Times New Roman"/>
                <w:color w:val="auto"/>
                <w:sz w:val="24"/>
                <w:lang w:val="en-US" w:eastAsia="zh-CN"/>
              </w:rPr>
              <w:t>库，</w:t>
            </w:r>
            <w:r>
              <w:rPr>
                <w:rFonts w:hint="eastAsia" w:ascii="Times New Roman" w:hAnsi="Times New Roman" w:eastAsia="宋体" w:cs="Times New Roman"/>
                <w:color w:val="FF0000"/>
                <w:sz w:val="24"/>
                <w:highlight w:val="none"/>
                <w:lang w:val="en-US" w:eastAsia="zh-CN"/>
              </w:rPr>
              <w:t>辣椒生产线位于加工车间内南侧。功能分区明确，交通顺畅，布置紧凑，各装置区间留有足够的安全间距，避免相互影响，平面布置合理，车间平面布置图见附图3。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0" w:type="dxa"/>
            <w:noWrap w:val="0"/>
            <w:vAlign w:val="center"/>
          </w:tcPr>
          <w:p>
            <w:pPr>
              <w:pStyle w:val="20"/>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工艺流程和产排污环节</w:t>
            </w:r>
          </w:p>
        </w:tc>
        <w:tc>
          <w:tcPr>
            <w:tcW w:w="824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1、施工期工艺流程及产排污环节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1.1施工期工艺流程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本项目施工期工艺流程及排污节点</w:t>
            </w:r>
            <w:r>
              <w:rPr>
                <w:rFonts w:hint="eastAsia" w:ascii="Times New Roman" w:hAnsi="Times New Roman" w:eastAsia="宋体" w:cs="Times New Roman"/>
                <w:color w:val="auto"/>
                <w:sz w:val="24"/>
                <w:szCs w:val="24"/>
                <w:highlight w:val="none"/>
                <w:lang w:val="en-US" w:eastAsia="zh-CN"/>
              </w:rPr>
              <w:t>见</w:t>
            </w:r>
            <w:r>
              <w:rPr>
                <w:rFonts w:hint="default" w:ascii="Times New Roman" w:hAnsi="Times New Roman" w:eastAsia="宋体" w:cs="Times New Roman"/>
                <w:color w:val="auto"/>
                <w:sz w:val="24"/>
                <w:szCs w:val="24"/>
                <w:highlight w:val="none"/>
              </w:rPr>
              <w:t>图2-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object>
                <v:shape id="_x0000_i1025" o:spt="75" type="#_x0000_t75" style="height:139.9pt;width:405.5pt;" o:ole="t" filled="f" o:preferrelative="t" stroked="f" coordsize="21600,21600">
                  <v:path/>
                  <v:fill on="f" focussize="0,0"/>
                  <v:stroke on="f"/>
                  <v:imagedata r:id="rId13" o:title=""/>
                  <o:lock v:ext="edit" aspectratio="t"/>
                  <w10:wrap type="none"/>
                  <w10:anchorlock/>
                </v:shape>
                <o:OLEObject Type="Embed" ProgID="Visio.Drawing.11" ShapeID="_x0000_i1025" DrawAspect="Content" ObjectID="_1468075725" r:id="rId12">
                  <o:LockedField>false</o:LockedField>
                </o:OLEObject>
              </w:object>
            </w:r>
            <w:r>
              <w:rPr>
                <w:rFonts w:hint="default" w:ascii="Times New Roman" w:hAnsi="Times New Roman" w:eastAsia="宋体" w:cs="Times New Roman"/>
                <w:b/>
                <w:bCs/>
                <w:color w:val="auto"/>
                <w:sz w:val="24"/>
                <w:szCs w:val="24"/>
                <w:highlight w:val="none"/>
              </w:rPr>
              <w:t>图2-</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施工工艺流程及排污节点图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建设时先进行场地平整，场地平整主要是对场地进行开挖或填平场地，场地完成平整后开始开挖地基进行建设，建设完成后进行设备或设施的安装。项目建设不同施工阶段的主要污染源和污染物有噪声、扬尘、建筑垃圾和施工废水产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1.2施工期产排污环节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1.2.1</w:t>
            </w:r>
            <w:r>
              <w:rPr>
                <w:rFonts w:hint="default" w:ascii="Times New Roman" w:hAnsi="Times New Roman" w:eastAsia="宋体" w:cs="Times New Roman"/>
                <w:b w:val="0"/>
                <w:bCs w:val="0"/>
                <w:color w:val="auto"/>
                <w:sz w:val="24"/>
                <w:szCs w:val="24"/>
                <w:highlight w:val="none"/>
                <w:lang w:eastAsia="zh-CN"/>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土方开挖扬尘：施工扬尘主要产生在土方开挖阶段。由于该阶段裸露浮土较多，产尘量较大，容易随风起尘，土方运输过程在沿路撒落及车辆辗压和行驶，在工程区和道路带起扬尘，污染环境；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运输装卸扬尘：汽车行驶引起的道路扬尘约占场地扬尘总量的50%以上，装卸过程中特别是遇到大风天气，很容易产生二次扬尘；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堆放场地扬尘：堆放场地风吹扬尘的影响范围一般在100m以内；</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1.2.2废水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施工期废水主要有施工废水和生活污水。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施工废水主要包括：施工期挖土、混凝土浇筑等所使用的机械设备在使用和维护过程中可能发生渗油以及通过人工冲洗所形成的含油和泥沙的污水</w:t>
            </w:r>
            <w:r>
              <w:rPr>
                <w:rFonts w:hint="default" w:ascii="Times New Roman" w:hAnsi="Times New Roman" w:eastAsia="宋体" w:cs="Times New Roman"/>
                <w:color w:val="auto"/>
                <w:sz w:val="24"/>
                <w:szCs w:val="24"/>
                <w:highlight w:val="none"/>
                <w:lang w:eastAsia="zh-CN"/>
              </w:rPr>
              <w:t>，经沉淀后回用于工程</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生活污水：主要来自施工人员产生的粪便污水、清洗污水等，其中以粪便污水中的污染物数量最高。施工人员约15人，建设时间为</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个月，生活用水按</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0L/人•d计算，则生活用水量约为</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/d，总用水量约为</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，生活污水产生量按用水量的80%计算，则施工期生活污水产生量约为</w:t>
            </w:r>
            <w:r>
              <w:rPr>
                <w:rFonts w:hint="eastAsia" w:ascii="Times New Roman" w:hAnsi="Times New Roman" w:eastAsia="宋体" w:cs="Times New Roman"/>
                <w:color w:val="auto"/>
                <w:sz w:val="24"/>
                <w:szCs w:val="24"/>
                <w:highlight w:val="none"/>
                <w:lang w:val="en-US" w:eastAsia="zh-CN"/>
              </w:rPr>
              <w:t>108</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。生活污水排入</w:t>
            </w:r>
            <w:r>
              <w:rPr>
                <w:rFonts w:hint="eastAsia" w:ascii="Times New Roman" w:hAnsi="Times New Roman" w:eastAsia="宋体" w:cs="Times New Roman"/>
                <w:color w:val="auto"/>
                <w:sz w:val="24"/>
                <w:szCs w:val="24"/>
                <w:highlight w:val="none"/>
                <w:lang w:val="en-US" w:eastAsia="zh-CN"/>
              </w:rPr>
              <w:t>化粪池</w:t>
            </w:r>
            <w:r>
              <w:rPr>
                <w:rFonts w:hint="default" w:ascii="Times New Roman" w:hAnsi="Times New Roman" w:eastAsia="宋体" w:cs="Times New Roman"/>
                <w:color w:val="auto"/>
                <w:sz w:val="24"/>
                <w:szCs w:val="24"/>
                <w:highlight w:val="none"/>
              </w:rPr>
              <w:t>，定期清掏。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1.2.3噪声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主要的噪声源有机械设备噪声、施工作业噪声和交通噪声。机械设备噪声主要由挖土机械、打桩机械、升降机等多种机械设备发出的；施工作业噪声主要指一些零星的敲打声、装卸车辆的撞击声、拆卸模板的撞击声等；交通噪声主要在施工材料运输过程中产生的，主要发生在土石方阶段、结构阶段和后期装修阶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1.2.4固体废物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施工期产生的固体废弃物主要为建筑施工垃圾和生活垃圾。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筑施工垃圾主要包括：建筑废模块、建筑材料下角料、破钢管、断残钢筋头、包装袋以及废旧设备等建筑施工垃圾，弃土、废沙石、建筑弃渣等没有回收价值的建筑材料废弃物，以及废木料、废钢材、塑料等后期装修废料等</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委托环卫部门处置</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生活垃圾主要由施工人员日常生活产生，以有机物为主。施工人员约15人，建设时间为</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个月，生活垃圾按0.5kg/人•d计算，则生活垃圾产生量为</w:t>
            </w:r>
            <w:r>
              <w:rPr>
                <w:rFonts w:hint="default" w:ascii="Times New Roman" w:hAnsi="Times New Roman" w:eastAsia="宋体" w:cs="Times New Roman"/>
                <w:color w:val="auto"/>
                <w:sz w:val="24"/>
                <w:szCs w:val="24"/>
                <w:highlight w:val="none"/>
                <w:lang w:val="en-US" w:eastAsia="zh-CN"/>
              </w:rPr>
              <w:t>1.125</w:t>
            </w:r>
            <w:r>
              <w:rPr>
                <w:rFonts w:hint="default" w:ascii="Times New Roman" w:hAnsi="Times New Roman" w:eastAsia="宋体" w:cs="Times New Roman"/>
                <w:color w:val="auto"/>
                <w:sz w:val="24"/>
                <w:szCs w:val="24"/>
                <w:highlight w:val="none"/>
              </w:rPr>
              <w:t>t。施工场地设垃圾桶，生活垃圾经收集后由环卫部门定期清运至指定地点。</w:t>
            </w:r>
          </w:p>
          <w:p>
            <w:pPr>
              <w:adjustRightInd w:val="0"/>
              <w:snapToGrid w:val="0"/>
              <w:rPr>
                <w:rFonts w:hint="eastAsia"/>
                <w:b/>
                <w:bCs/>
                <w:color w:val="auto"/>
                <w:sz w:val="24"/>
              </w:rPr>
            </w:pPr>
            <w:r>
              <w:rPr>
                <w:rFonts w:hint="eastAsia"/>
                <w:b/>
                <w:bCs/>
                <w:color w:val="auto"/>
                <w:sz w:val="24"/>
              </w:rPr>
              <w:t>2、运营期工艺流程及产排污环节</w:t>
            </w:r>
          </w:p>
          <w:p>
            <w:pPr>
              <w:adjustRightInd w:val="0"/>
              <w:snapToGrid w:val="0"/>
              <w:rPr>
                <w:color w:val="auto"/>
                <w:sz w:val="24"/>
              </w:rPr>
            </w:pPr>
            <w:r>
              <w:rPr>
                <w:rFonts w:hint="eastAsia"/>
                <w:color w:val="auto"/>
                <w:sz w:val="24"/>
              </w:rPr>
              <w:t>2.1运营期工艺流程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本项目产品为多味瓜子</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原味瓜子</w:t>
            </w:r>
            <w:r>
              <w:rPr>
                <w:rFonts w:hint="eastAsia" w:cs="Times New Roman"/>
                <w:color w:val="auto"/>
                <w:sz w:val="24"/>
                <w:szCs w:val="24"/>
                <w:highlight w:val="none"/>
                <w:lang w:val="en-US" w:eastAsia="zh-CN"/>
              </w:rPr>
              <w:t>和辣椒，</w:t>
            </w:r>
            <w:r>
              <w:rPr>
                <w:rFonts w:hint="eastAsia" w:ascii="Times New Roman" w:hAnsi="Times New Roman" w:eastAsia="宋体" w:cs="Times New Roman"/>
                <w:color w:val="auto"/>
                <w:sz w:val="24"/>
                <w:szCs w:val="24"/>
                <w:highlight w:val="none"/>
              </w:rPr>
              <w:t>具体工艺如下述：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（1）多味瓜子生产工艺</w:t>
            </w:r>
          </w:p>
          <w:p>
            <w:pPr>
              <w:bidi w:val="0"/>
              <w:spacing w:line="240" w:lineRule="auto"/>
              <w:jc w:val="center"/>
              <w:rPr>
                <w:rFonts w:hint="eastAsia" w:eastAsia="宋体"/>
                <w:lang w:eastAsia="zh-CN"/>
              </w:rPr>
            </w:pPr>
            <w:r>
              <w:rPr>
                <w:rFonts w:hint="eastAsia" w:eastAsia="宋体"/>
                <w:lang w:eastAsia="zh-CN"/>
              </w:rPr>
              <w:drawing>
                <wp:inline distT="0" distB="0" distL="114300" distR="114300">
                  <wp:extent cx="4445635" cy="3862705"/>
                  <wp:effectExtent l="0" t="0" r="0" b="4445"/>
                  <wp:docPr id="35" name="图片 35" descr="多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多味"/>
                          <pic:cNvPicPr>
                            <a:picLocks noChangeAspect="1"/>
                          </pic:cNvPicPr>
                        </pic:nvPicPr>
                        <pic:blipFill>
                          <a:blip r:embed="rId14"/>
                          <a:srcRect t="3700" r="337" b="3218"/>
                          <a:stretch>
                            <a:fillRect/>
                          </a:stretch>
                        </pic:blipFill>
                        <pic:spPr>
                          <a:xfrm>
                            <a:off x="0" y="0"/>
                            <a:ext cx="4445635" cy="3862705"/>
                          </a:xfrm>
                          <a:prstGeom prst="rect">
                            <a:avLst/>
                          </a:prstGeom>
                        </pic:spPr>
                      </pic:pic>
                    </a:graphicData>
                  </a:graphic>
                </wp:inline>
              </w:drawing>
            </w:r>
          </w:p>
          <w:p>
            <w:pPr>
              <w:bidi w:val="0"/>
              <w:spacing w:line="240" w:lineRule="auto"/>
              <w:jc w:val="center"/>
              <w:rPr>
                <w:rFonts w:hint="eastAsia"/>
                <w:b/>
                <w:bCs/>
                <w:sz w:val="24"/>
                <w:szCs w:val="24"/>
              </w:rPr>
            </w:pPr>
            <w:r>
              <w:rPr>
                <w:rFonts w:hint="eastAsia"/>
                <w:b/>
                <w:bCs/>
                <w:sz w:val="24"/>
                <w:szCs w:val="24"/>
              </w:rPr>
              <w:t>图2-</w:t>
            </w:r>
            <w:r>
              <w:rPr>
                <w:rFonts w:hint="eastAsia"/>
                <w:b/>
                <w:bCs/>
                <w:sz w:val="24"/>
                <w:szCs w:val="24"/>
                <w:lang w:val="en-US" w:eastAsia="zh-CN"/>
              </w:rPr>
              <w:t xml:space="preserve">4 </w:t>
            </w:r>
            <w:r>
              <w:rPr>
                <w:rFonts w:hint="eastAsia"/>
                <w:b/>
                <w:bCs/>
                <w:sz w:val="24"/>
                <w:szCs w:val="24"/>
              </w:rPr>
              <w:t>多味瓜子生产工艺流程图与产污节点图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①水煮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default" w:ascii="Times New Roman" w:hAnsi="Times New Roman" w:eastAsia="宋体" w:cs="Times New Roman"/>
                <w:color w:val="FF0000"/>
                <w:sz w:val="24"/>
                <w:highlight w:val="none"/>
              </w:rPr>
              <w:t>采用行吊将盛有瓜子的锅篦子吊至煮锅内进行水煮</w:t>
            </w:r>
            <w:r>
              <w:rPr>
                <w:rFonts w:hint="eastAsia" w:ascii="Times New Roman" w:hAnsi="Times New Roman" w:eastAsia="宋体" w:cs="Times New Roman"/>
                <w:color w:val="FF0000"/>
                <w:sz w:val="24"/>
                <w:szCs w:val="24"/>
                <w:highlight w:val="none"/>
              </w:rPr>
              <w:t>，</w:t>
            </w:r>
            <w:r>
              <w:rPr>
                <w:rFonts w:hint="eastAsia" w:ascii="Times New Roman" w:hAnsi="Times New Roman" w:eastAsia="宋体" w:cs="Times New Roman"/>
                <w:color w:val="auto"/>
                <w:sz w:val="24"/>
                <w:szCs w:val="24"/>
                <w:highlight w:val="none"/>
              </w:rPr>
              <w:t>约500kg/锅，煮1～2h。水煮锅事先加入</w:t>
            </w:r>
            <w:r>
              <w:rPr>
                <w:rFonts w:hint="eastAsia" w:cs="Times New Roman"/>
                <w:color w:val="auto"/>
                <w:sz w:val="24"/>
                <w:szCs w:val="24"/>
                <w:highlight w:val="none"/>
                <w:lang w:val="en-US" w:eastAsia="zh-CN"/>
              </w:rPr>
              <w:t>水</w:t>
            </w:r>
            <w:r>
              <w:rPr>
                <w:rFonts w:hint="eastAsia"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再</w:t>
            </w:r>
            <w:r>
              <w:rPr>
                <w:rFonts w:hint="eastAsia" w:ascii="Times New Roman" w:hAnsi="Times New Roman" w:eastAsia="宋体" w:cs="Times New Roman"/>
                <w:color w:val="auto"/>
                <w:sz w:val="24"/>
                <w:szCs w:val="24"/>
                <w:highlight w:val="none"/>
              </w:rPr>
              <w:t>由人工倒入配料间调制的盐和八角、桂皮、花椒等。盖上锅盖进行水煮。每台水煮锅后设置有燃烧机，燃烧机通过燃烧生物质燃料产生的火焰对水煮锅进行加热，使水煮锅内加热温度保持在120℃左右，确保瓜子有效的入味。根据建设单位提供资料，每生产一个星期左右，用不锈钢勺将煮锅内的固体物质（主要为八角、桂皮等）捞出。然后再在下一批产品时再按工艺要求在蒸煮锅内补充八角、桂皮、盐、水等辅料。</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②烘干</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将水煮锅内盛载瓜子的锅篦子通过行吊吊至水煮锅旁的平台上，平台下方设置斜料斗，打开锅篦子下端的开关将瓜子落入至斜料斗内，料斗下料口对准烘池进料口进料，</w:t>
            </w:r>
            <w:r>
              <w:rPr>
                <w:rFonts w:hint="eastAsia" w:ascii="Times New Roman" w:hAnsi="Times New Roman" w:eastAsia="宋体" w:cs="Times New Roman"/>
                <w:color w:val="FF0000"/>
                <w:sz w:val="24"/>
                <w:szCs w:val="24"/>
                <w:highlight w:val="none"/>
              </w:rPr>
              <w:t>烘池</w:t>
            </w:r>
            <w:r>
              <w:rPr>
                <w:rFonts w:hint="eastAsia" w:cs="Times New Roman"/>
                <w:color w:val="FF0000"/>
                <w:sz w:val="24"/>
                <w:szCs w:val="24"/>
                <w:highlight w:val="none"/>
                <w:lang w:val="en-US" w:eastAsia="zh-CN"/>
              </w:rPr>
              <w:t>处</w:t>
            </w:r>
            <w:r>
              <w:rPr>
                <w:rFonts w:hint="eastAsia" w:ascii="Times New Roman" w:hAnsi="Times New Roman" w:eastAsia="宋体" w:cs="Times New Roman"/>
                <w:color w:val="FF0000"/>
                <w:sz w:val="24"/>
                <w:szCs w:val="24"/>
                <w:highlight w:val="none"/>
              </w:rPr>
              <w:t>设置</w:t>
            </w:r>
            <w:r>
              <w:rPr>
                <w:rFonts w:hint="eastAsia" w:cs="Times New Roman"/>
                <w:color w:val="FF0000"/>
                <w:sz w:val="24"/>
                <w:szCs w:val="24"/>
                <w:highlight w:val="none"/>
                <w:lang w:val="en-US" w:eastAsia="zh-CN"/>
              </w:rPr>
              <w:t>热风炉</w:t>
            </w:r>
            <w:r>
              <w:rPr>
                <w:rFonts w:hint="eastAsia" w:ascii="Times New Roman" w:hAnsi="Times New Roman" w:eastAsia="宋体" w:cs="Times New Roman"/>
                <w:color w:val="FF0000"/>
                <w:sz w:val="24"/>
                <w:szCs w:val="24"/>
                <w:highlight w:val="none"/>
              </w:rPr>
              <w:t>，</w:t>
            </w:r>
            <w:r>
              <w:rPr>
                <w:rFonts w:hint="eastAsia" w:cs="Times New Roman"/>
                <w:color w:val="auto"/>
                <w:sz w:val="24"/>
                <w:szCs w:val="24"/>
                <w:highlight w:val="none"/>
                <w:lang w:val="en-US" w:eastAsia="zh-CN"/>
              </w:rPr>
              <w:t>热风炉使用</w:t>
            </w:r>
            <w:r>
              <w:rPr>
                <w:rFonts w:hint="eastAsia" w:ascii="Times New Roman" w:hAnsi="Times New Roman" w:eastAsia="宋体" w:cs="Times New Roman"/>
                <w:color w:val="auto"/>
                <w:sz w:val="24"/>
                <w:szCs w:val="24"/>
                <w:highlight w:val="none"/>
              </w:rPr>
              <w:t>生物质燃料</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生物质燃料</w:t>
            </w:r>
            <w:r>
              <w:rPr>
                <w:rFonts w:hint="eastAsia" w:cs="Times New Roman"/>
                <w:color w:val="auto"/>
                <w:sz w:val="24"/>
                <w:szCs w:val="24"/>
                <w:highlight w:val="none"/>
                <w:lang w:val="en-US" w:eastAsia="zh-CN"/>
              </w:rPr>
              <w:t>燃烧</w:t>
            </w:r>
            <w:r>
              <w:rPr>
                <w:rFonts w:hint="eastAsia" w:ascii="Times New Roman" w:hAnsi="Times New Roman" w:eastAsia="宋体" w:cs="Times New Roman"/>
                <w:color w:val="auto"/>
                <w:sz w:val="24"/>
                <w:szCs w:val="24"/>
                <w:highlight w:val="none"/>
              </w:rPr>
              <w:t>产生</w:t>
            </w:r>
            <w:r>
              <w:rPr>
                <w:rFonts w:hint="eastAsia" w:cs="Times New Roman"/>
                <w:color w:val="auto"/>
                <w:sz w:val="24"/>
                <w:szCs w:val="24"/>
                <w:highlight w:val="none"/>
                <w:lang w:val="en-US" w:eastAsia="zh-CN"/>
              </w:rPr>
              <w:t>热风，进入</w:t>
            </w:r>
            <w:r>
              <w:rPr>
                <w:rFonts w:hint="eastAsia" w:ascii="Times New Roman" w:hAnsi="Times New Roman" w:eastAsia="宋体" w:cs="Times New Roman"/>
                <w:color w:val="auto"/>
                <w:sz w:val="24"/>
                <w:szCs w:val="24"/>
                <w:highlight w:val="none"/>
              </w:rPr>
              <w:t>烘池</w:t>
            </w:r>
            <w:r>
              <w:rPr>
                <w:rFonts w:hint="eastAsia" w:cs="Times New Roman"/>
                <w:color w:val="auto"/>
                <w:sz w:val="24"/>
                <w:szCs w:val="24"/>
                <w:highlight w:val="none"/>
                <w:lang w:val="en-US" w:eastAsia="zh-CN"/>
              </w:rPr>
              <w:t>对瓜子</w:t>
            </w:r>
            <w:r>
              <w:rPr>
                <w:rFonts w:hint="eastAsia" w:ascii="Times New Roman" w:hAnsi="Times New Roman" w:eastAsia="宋体" w:cs="Times New Roman"/>
                <w:color w:val="auto"/>
                <w:sz w:val="24"/>
                <w:szCs w:val="24"/>
                <w:highlight w:val="none"/>
              </w:rPr>
              <w:t>进行</w:t>
            </w:r>
            <w:r>
              <w:rPr>
                <w:rFonts w:hint="eastAsia" w:cs="Times New Roman"/>
                <w:color w:val="auto"/>
                <w:sz w:val="24"/>
                <w:szCs w:val="24"/>
                <w:highlight w:val="none"/>
                <w:lang w:val="en-US" w:eastAsia="zh-CN"/>
              </w:rPr>
              <w:t>烘干</w:t>
            </w:r>
            <w:r>
              <w:rPr>
                <w:rFonts w:hint="eastAsia" w:ascii="Times New Roman" w:hAnsi="Times New Roman" w:eastAsia="宋体" w:cs="Times New Roman"/>
                <w:color w:val="auto"/>
                <w:sz w:val="24"/>
                <w:szCs w:val="24"/>
                <w:highlight w:val="none"/>
              </w:rPr>
              <w:t>，保持烘池内温度为100～120℃，防止温度过高使瓜子烤焦。</w:t>
            </w:r>
            <w:r>
              <w:rPr>
                <w:rFonts w:hint="eastAsia" w:ascii="Times New Roman" w:hAnsi="Times New Roman" w:eastAsia="宋体" w:cs="Times New Roman"/>
                <w:color w:val="auto"/>
                <w:sz w:val="24"/>
                <w:szCs w:val="24"/>
                <w:highlight w:val="none"/>
                <w:lang w:val="en-US" w:eastAsia="zh-CN"/>
              </w:rPr>
              <w:t>热风炉</w:t>
            </w:r>
            <w:r>
              <w:rPr>
                <w:rFonts w:hint="eastAsia" w:ascii="Times New Roman" w:hAnsi="Times New Roman" w:eastAsia="宋体" w:cs="Times New Roman"/>
                <w:color w:val="auto"/>
                <w:sz w:val="24"/>
                <w:szCs w:val="24"/>
                <w:highlight w:val="none"/>
              </w:rPr>
              <w:t>生物质燃料燃烧过程产生的烟气通过管道收集，与水煮工序燃烧废气汇集，经布袋除尘器处置后，由1根15m高排气筒排放。烘池内部设有叶片，转动过程中空气流动为瓜子烘干，时间约2～3h。</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③筛选</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脱皮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烘干后的瓜子通过</w:t>
            </w:r>
            <w:r>
              <w:rPr>
                <w:rFonts w:hint="eastAsia" w:cs="Times New Roman"/>
                <w:color w:val="auto"/>
                <w:sz w:val="24"/>
                <w:szCs w:val="24"/>
                <w:highlight w:val="none"/>
                <w:lang w:val="en-US" w:eastAsia="zh-CN"/>
              </w:rPr>
              <w:t>输送带</w:t>
            </w:r>
            <w:r>
              <w:rPr>
                <w:rFonts w:hint="eastAsia" w:ascii="Times New Roman" w:hAnsi="Times New Roman" w:eastAsia="宋体" w:cs="Times New Roman"/>
                <w:color w:val="auto"/>
                <w:sz w:val="24"/>
                <w:szCs w:val="24"/>
                <w:highlight w:val="none"/>
              </w:rPr>
              <w:t>由进料口进入筛选机内，利用优质瓜子和不合格品质量差的原理进行筛选，筛选</w:t>
            </w:r>
            <w:r>
              <w:rPr>
                <w:rFonts w:hint="eastAsia" w:cs="Times New Roman"/>
                <w:color w:val="auto"/>
                <w:sz w:val="24"/>
                <w:szCs w:val="24"/>
                <w:highlight w:val="none"/>
                <w:lang w:val="en-US" w:eastAsia="zh-CN"/>
              </w:rPr>
              <w:t>后瓜子送脱皮机抛光。</w:t>
            </w:r>
            <w:r>
              <w:rPr>
                <w:rFonts w:hint="eastAsia" w:ascii="Times New Roman" w:hAnsi="Times New Roman" w:eastAsia="宋体" w:cs="Times New Roman"/>
                <w:color w:val="auto"/>
                <w:sz w:val="24"/>
                <w:szCs w:val="24"/>
                <w:highlight w:val="none"/>
              </w:rPr>
              <w:t>优质瓜子通过转移车送至包装室，不合格</w:t>
            </w:r>
            <w:r>
              <w:rPr>
                <w:rFonts w:hint="eastAsia" w:cs="Times New Roman"/>
                <w:color w:val="auto"/>
                <w:sz w:val="24"/>
                <w:szCs w:val="24"/>
                <w:highlight w:val="none"/>
                <w:lang w:val="en-US" w:eastAsia="zh-CN"/>
              </w:rPr>
              <w:t>瓜子</w:t>
            </w:r>
            <w:r>
              <w:rPr>
                <w:rFonts w:hint="eastAsia" w:ascii="Times New Roman" w:hAnsi="Times New Roman" w:eastAsia="宋体" w:cs="Times New Roman"/>
                <w:color w:val="auto"/>
                <w:sz w:val="24"/>
                <w:szCs w:val="24"/>
                <w:highlight w:val="none"/>
              </w:rPr>
              <w:t>收集后用作</w:t>
            </w:r>
            <w:r>
              <w:rPr>
                <w:rFonts w:hint="eastAsia" w:cs="Times New Roman"/>
                <w:color w:val="auto"/>
                <w:sz w:val="24"/>
                <w:szCs w:val="24"/>
                <w:highlight w:val="none"/>
                <w:lang w:val="en-US" w:eastAsia="zh-CN"/>
              </w:rPr>
              <w:t>多味瓜子</w:t>
            </w:r>
            <w:r>
              <w:rPr>
                <w:rFonts w:hint="eastAsia" w:ascii="Times New Roman" w:hAnsi="Times New Roman" w:eastAsia="宋体" w:cs="Times New Roman"/>
                <w:color w:val="auto"/>
                <w:sz w:val="24"/>
                <w:szCs w:val="24"/>
                <w:highlight w:val="none"/>
              </w:rPr>
              <w:t>水煮工序燃料</w:t>
            </w:r>
            <w:r>
              <w:rPr>
                <w:rFonts w:hint="eastAsia" w:cs="Times New Roman"/>
                <w:color w:val="auto"/>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④包装、存储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加工完成后的成品经自动封口机封口，控制密封线距袋边 0.8-1.0cm，包装规格为10kg/袋，入库待售。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（2）原味瓜子生产工艺</w:t>
            </w:r>
          </w:p>
          <w:p>
            <w:pPr>
              <w:bidi w:val="0"/>
              <w:spacing w:line="240" w:lineRule="auto"/>
              <w:jc w:val="center"/>
              <w:rPr>
                <w:rFonts w:hint="eastAsia" w:eastAsia="宋体"/>
                <w:b/>
                <w:bCs/>
                <w:lang w:eastAsia="zh-CN"/>
              </w:rPr>
            </w:pPr>
            <w:r>
              <w:rPr>
                <w:rFonts w:hint="eastAsia" w:eastAsia="宋体"/>
                <w:b/>
                <w:bCs/>
                <w:lang w:eastAsia="zh-CN"/>
              </w:rPr>
              <w:drawing>
                <wp:inline distT="0" distB="0" distL="114300" distR="114300">
                  <wp:extent cx="4423410" cy="3880485"/>
                  <wp:effectExtent l="0" t="0" r="0" b="5715"/>
                  <wp:docPr id="36" name="图片 36" descr="原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原味"/>
                          <pic:cNvPicPr>
                            <a:picLocks noChangeAspect="1"/>
                          </pic:cNvPicPr>
                        </pic:nvPicPr>
                        <pic:blipFill>
                          <a:blip r:embed="rId15"/>
                          <a:srcRect t="3835" r="985" b="3662"/>
                          <a:stretch>
                            <a:fillRect/>
                          </a:stretch>
                        </pic:blipFill>
                        <pic:spPr>
                          <a:xfrm>
                            <a:off x="0" y="0"/>
                            <a:ext cx="4423410" cy="3880485"/>
                          </a:xfrm>
                          <a:prstGeom prst="rect">
                            <a:avLst/>
                          </a:prstGeom>
                        </pic:spPr>
                      </pic:pic>
                    </a:graphicData>
                  </a:graphic>
                </wp:inline>
              </w:drawing>
            </w:r>
          </w:p>
          <w:p>
            <w:pPr>
              <w:bidi w:val="0"/>
              <w:spacing w:line="240" w:lineRule="auto"/>
              <w:jc w:val="center"/>
              <w:rPr>
                <w:rFonts w:hint="eastAsia"/>
                <w:sz w:val="24"/>
                <w:szCs w:val="24"/>
              </w:rPr>
            </w:pPr>
            <w:r>
              <w:rPr>
                <w:rFonts w:hint="eastAsia"/>
                <w:b/>
                <w:bCs/>
                <w:color w:val="auto"/>
                <w:sz w:val="24"/>
                <w:szCs w:val="24"/>
                <w:highlight w:val="none"/>
              </w:rPr>
              <w:t>图2-</w:t>
            </w:r>
            <w:r>
              <w:rPr>
                <w:rFonts w:hint="eastAsia"/>
                <w:b/>
                <w:bCs/>
                <w:color w:val="auto"/>
                <w:sz w:val="24"/>
                <w:szCs w:val="24"/>
                <w:highlight w:val="none"/>
                <w:lang w:val="en-US" w:eastAsia="zh-CN"/>
              </w:rPr>
              <w:t xml:space="preserve">5 </w:t>
            </w:r>
            <w:r>
              <w:rPr>
                <w:rFonts w:hint="eastAsia"/>
                <w:b/>
                <w:bCs/>
                <w:color w:val="auto"/>
                <w:sz w:val="24"/>
                <w:szCs w:val="24"/>
                <w:highlight w:val="none"/>
              </w:rPr>
              <w:t>原味</w:t>
            </w:r>
            <w:r>
              <w:rPr>
                <w:rFonts w:hint="eastAsia"/>
                <w:b/>
                <w:bCs/>
                <w:color w:val="auto"/>
                <w:sz w:val="24"/>
                <w:szCs w:val="24"/>
                <w:highlight w:val="none"/>
                <w:lang w:val="en-US" w:eastAsia="zh-CN"/>
              </w:rPr>
              <w:t>瓜子</w:t>
            </w:r>
            <w:r>
              <w:rPr>
                <w:rFonts w:hint="eastAsia"/>
                <w:b/>
                <w:bCs/>
                <w:color w:val="auto"/>
                <w:sz w:val="24"/>
                <w:szCs w:val="24"/>
                <w:highlight w:val="none"/>
              </w:rPr>
              <w:t>生产工艺流程图与产污节点图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rPr>
              <w:t>①</w:t>
            </w:r>
            <w:r>
              <w:rPr>
                <w:rFonts w:hint="eastAsia" w:cs="Times New Roman"/>
                <w:color w:val="auto"/>
                <w:sz w:val="24"/>
                <w:szCs w:val="24"/>
                <w:highlight w:val="none"/>
                <w:lang w:val="en-US" w:eastAsia="zh-CN"/>
              </w:rPr>
              <w:t>炒制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提前预热</w:t>
            </w:r>
            <w:r>
              <w:rPr>
                <w:rFonts w:hint="eastAsia" w:cs="Times New Roman"/>
                <w:color w:val="auto"/>
                <w:sz w:val="24"/>
                <w:szCs w:val="24"/>
                <w:highlight w:val="none"/>
                <w:lang w:val="en-US" w:eastAsia="zh-CN"/>
              </w:rPr>
              <w:t>干炒</w:t>
            </w:r>
            <w:r>
              <w:rPr>
                <w:rFonts w:hint="eastAsia" w:ascii="Times New Roman" w:hAnsi="Times New Roman" w:eastAsia="宋体" w:cs="Times New Roman"/>
                <w:color w:val="auto"/>
                <w:sz w:val="24"/>
                <w:szCs w:val="24"/>
                <w:highlight w:val="none"/>
              </w:rPr>
              <w:t>机，通过人工加入适量食盐，达到规定温度后加入生瓜子。生瓜子落料至干炒机进行炒制，</w:t>
            </w:r>
            <w:r>
              <w:rPr>
                <w:rFonts w:hint="eastAsia" w:cs="Times New Roman"/>
                <w:color w:val="auto"/>
                <w:sz w:val="24"/>
                <w:szCs w:val="24"/>
                <w:highlight w:val="none"/>
                <w:lang w:val="en-US" w:eastAsia="zh-CN"/>
              </w:rPr>
              <w:t>干炒</w:t>
            </w:r>
            <w:r>
              <w:rPr>
                <w:rFonts w:hint="eastAsia" w:ascii="Times New Roman" w:hAnsi="Times New Roman" w:eastAsia="宋体" w:cs="Times New Roman"/>
                <w:color w:val="auto"/>
                <w:sz w:val="24"/>
                <w:szCs w:val="24"/>
                <w:highlight w:val="none"/>
              </w:rPr>
              <w:t>机</w:t>
            </w:r>
            <w:r>
              <w:rPr>
                <w:rFonts w:hint="eastAsia" w:cs="Times New Roman"/>
                <w:color w:val="auto"/>
                <w:sz w:val="24"/>
                <w:szCs w:val="24"/>
                <w:highlight w:val="none"/>
                <w:lang w:val="en-US" w:eastAsia="zh-CN"/>
              </w:rPr>
              <w:t>使用生物质颗粒燃料，</w:t>
            </w:r>
            <w:r>
              <w:rPr>
                <w:rFonts w:hint="eastAsia" w:ascii="Times New Roman" w:hAnsi="Times New Roman" w:eastAsia="宋体" w:cs="Times New Roman"/>
                <w:color w:val="auto"/>
                <w:sz w:val="24"/>
                <w:szCs w:val="24"/>
                <w:highlight w:val="none"/>
              </w:rPr>
              <w:t>内设有翻炒装置，确保瓜子可以均匀受热，约15min后完成炒制。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②筛选</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脱皮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炒制</w:t>
            </w:r>
            <w:r>
              <w:rPr>
                <w:rFonts w:hint="eastAsia" w:ascii="Times New Roman" w:hAnsi="Times New Roman" w:eastAsia="宋体" w:cs="Times New Roman"/>
                <w:color w:val="auto"/>
                <w:sz w:val="24"/>
                <w:szCs w:val="24"/>
                <w:highlight w:val="none"/>
              </w:rPr>
              <w:t>后的瓜子通过转移车送至筛选间，由进料口进入筛选机内，利用优质瓜子和不合格品质量差的原理进行筛选，筛选</w:t>
            </w:r>
            <w:r>
              <w:rPr>
                <w:rFonts w:hint="eastAsia" w:ascii="Times New Roman" w:hAnsi="Times New Roman" w:eastAsia="宋体" w:cs="Times New Roman"/>
                <w:color w:val="auto"/>
                <w:sz w:val="24"/>
                <w:szCs w:val="24"/>
                <w:highlight w:val="none"/>
                <w:lang w:val="en-US" w:eastAsia="zh-CN"/>
              </w:rPr>
              <w:t>后瓜子经脱皮机抛光。</w:t>
            </w:r>
            <w:r>
              <w:rPr>
                <w:rFonts w:hint="eastAsia" w:ascii="Times New Roman" w:hAnsi="Times New Roman" w:eastAsia="宋体" w:cs="Times New Roman"/>
                <w:color w:val="auto"/>
                <w:sz w:val="24"/>
                <w:szCs w:val="24"/>
                <w:highlight w:val="none"/>
              </w:rPr>
              <w:t>优质瓜子通过转移车送至包装室，不合格</w:t>
            </w:r>
            <w:r>
              <w:rPr>
                <w:rFonts w:hint="eastAsia" w:cs="Times New Roman"/>
                <w:color w:val="auto"/>
                <w:sz w:val="24"/>
                <w:szCs w:val="24"/>
                <w:highlight w:val="none"/>
                <w:lang w:val="en-US" w:eastAsia="zh-CN"/>
              </w:rPr>
              <w:t>瓜子</w:t>
            </w:r>
            <w:r>
              <w:rPr>
                <w:rFonts w:hint="eastAsia" w:ascii="Times New Roman" w:hAnsi="Times New Roman" w:eastAsia="宋体" w:cs="Times New Roman"/>
                <w:color w:val="auto"/>
                <w:sz w:val="24"/>
                <w:szCs w:val="24"/>
                <w:highlight w:val="none"/>
              </w:rPr>
              <w:t>收集后用作</w:t>
            </w:r>
            <w:r>
              <w:rPr>
                <w:rFonts w:hint="eastAsia" w:ascii="Times New Roman" w:hAnsi="Times New Roman" w:eastAsia="宋体" w:cs="Times New Roman"/>
                <w:color w:val="auto"/>
                <w:sz w:val="24"/>
                <w:szCs w:val="24"/>
                <w:highlight w:val="none"/>
                <w:lang w:val="en-US" w:eastAsia="zh-CN"/>
              </w:rPr>
              <w:t>多味瓜子</w:t>
            </w:r>
            <w:r>
              <w:rPr>
                <w:rFonts w:hint="eastAsia" w:ascii="Times New Roman" w:hAnsi="Times New Roman" w:eastAsia="宋体" w:cs="Times New Roman"/>
                <w:color w:val="auto"/>
                <w:sz w:val="24"/>
                <w:szCs w:val="24"/>
                <w:highlight w:val="none"/>
              </w:rPr>
              <w:t>水煮工序燃料。</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③包装、存储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rPr>
              <w:t>加工完成后的成品经自动封口机封口，控制密封线距袋边0.8-1.0cm，包装规格为10kg/袋，入库待售。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辣椒精选加工生产工艺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eastAsia" w:eastAsia="宋体"/>
                <w:b/>
                <w:bCs/>
                <w:lang w:eastAsia="zh-CN"/>
              </w:rPr>
            </w:pPr>
            <w:r>
              <w:rPr>
                <w:rFonts w:hint="eastAsia" w:eastAsia="宋体"/>
                <w:b/>
                <w:bCs/>
                <w:lang w:eastAsia="zh-CN"/>
              </w:rPr>
              <w:drawing>
                <wp:inline distT="0" distB="0" distL="114300" distR="114300">
                  <wp:extent cx="3268980" cy="4654550"/>
                  <wp:effectExtent l="0" t="0" r="0" b="12700"/>
                  <wp:docPr id="1" name="图片 1" descr="辣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辣椒"/>
                          <pic:cNvPicPr>
                            <a:picLocks noChangeAspect="1"/>
                          </pic:cNvPicPr>
                        </pic:nvPicPr>
                        <pic:blipFill>
                          <a:blip r:embed="rId16"/>
                          <a:srcRect t="3561" r="2072" b="3286"/>
                          <a:stretch>
                            <a:fillRect/>
                          </a:stretch>
                        </pic:blipFill>
                        <pic:spPr>
                          <a:xfrm>
                            <a:off x="0" y="0"/>
                            <a:ext cx="3268980" cy="4654550"/>
                          </a:xfrm>
                          <a:prstGeom prst="rect">
                            <a:avLst/>
                          </a:prstGeom>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eastAsia="宋体" w:cs="Times New Roman"/>
                <w:color w:val="auto"/>
                <w:sz w:val="24"/>
                <w:szCs w:val="24"/>
                <w:highlight w:val="none"/>
                <w:lang w:val="en-US" w:eastAsia="zh-CN"/>
              </w:rPr>
            </w:pPr>
            <w:r>
              <w:rPr>
                <w:rFonts w:hint="eastAsia"/>
                <w:b/>
                <w:bCs/>
                <w:sz w:val="24"/>
                <w:szCs w:val="24"/>
              </w:rPr>
              <w:t>图2-</w:t>
            </w:r>
            <w:r>
              <w:rPr>
                <w:rFonts w:hint="eastAsia"/>
                <w:b/>
                <w:bCs/>
                <w:sz w:val="24"/>
                <w:szCs w:val="24"/>
                <w:lang w:val="en-US" w:eastAsia="zh-CN"/>
              </w:rPr>
              <w:t xml:space="preserve">6 </w:t>
            </w:r>
            <w:r>
              <w:rPr>
                <w:rFonts w:hint="eastAsia"/>
                <w:b/>
                <w:bCs/>
                <w:sz w:val="24"/>
                <w:szCs w:val="24"/>
              </w:rPr>
              <w:t>辣椒精选加工工艺流程图与产污节点图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去杂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外购的新鲜辣椒通过输送带运送进入比重去杂机，去除辣椒梗、石子，砂砾等杂质。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2）剪</w:t>
            </w:r>
            <w:r>
              <w:rPr>
                <w:rFonts w:hint="eastAsia" w:ascii="Times New Roman" w:hAnsi="Times New Roman" w:eastAsia="宋体" w:cs="Times New Roman"/>
                <w:color w:val="auto"/>
                <w:sz w:val="24"/>
                <w:szCs w:val="24"/>
                <w:highlight w:val="none"/>
              </w:rPr>
              <w:t>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去杂后的辣椒通过输送带进入剪把机进行剪把。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3）色</w:t>
            </w:r>
            <w:r>
              <w:rPr>
                <w:rFonts w:hint="eastAsia" w:ascii="Times New Roman" w:hAnsi="Times New Roman" w:eastAsia="宋体" w:cs="Times New Roman"/>
                <w:color w:val="auto"/>
                <w:sz w:val="24"/>
                <w:szCs w:val="24"/>
                <w:highlight w:val="none"/>
              </w:rPr>
              <w:t>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剪把后的辣椒通过输送带进入色选机剔除霉变、病斑及褐变物料。</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rPr>
              <w:t>烘干</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由于外购的原料辣椒中还含有较多的水分，多余的水分会影响辣椒储存时间及口感，故通过电烘干机对辣椒进行烘干。</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rPr>
              <w:t>包装</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烘干后的辣椒用打包机进行装袋，包装好的辣椒送至成品库存放。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2.2</w:t>
            </w:r>
            <w:r>
              <w:rPr>
                <w:rFonts w:hint="eastAsia"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运营期产排污环节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本项目运行期产生的废气</w:t>
            </w:r>
            <w:r>
              <w:rPr>
                <w:rFonts w:hint="eastAsia" w:ascii="Times New Roman" w:hAnsi="Times New Roman" w:eastAsia="宋体" w:cs="Times New Roman"/>
                <w:color w:val="auto"/>
                <w:sz w:val="24"/>
                <w:szCs w:val="24"/>
                <w:highlight w:val="none"/>
                <w:lang w:val="en-US" w:eastAsia="zh-CN"/>
              </w:rPr>
              <w:t>主要</w:t>
            </w:r>
            <w:r>
              <w:rPr>
                <w:rFonts w:hint="eastAsia" w:ascii="Times New Roman" w:hAnsi="Times New Roman" w:eastAsia="宋体" w:cs="Times New Roman"/>
                <w:color w:val="auto"/>
                <w:sz w:val="24"/>
                <w:szCs w:val="24"/>
                <w:highlight w:val="none"/>
              </w:rPr>
              <w:t>为</w:t>
            </w:r>
            <w:r>
              <w:rPr>
                <w:rFonts w:hint="eastAsia" w:cs="Times New Roman"/>
                <w:color w:val="auto"/>
                <w:sz w:val="24"/>
                <w:szCs w:val="24"/>
                <w:highlight w:val="none"/>
                <w:lang w:val="en-US" w:eastAsia="zh-CN"/>
              </w:rPr>
              <w:t>多味瓜子</w:t>
            </w:r>
            <w:r>
              <w:rPr>
                <w:rFonts w:hint="eastAsia" w:ascii="Times New Roman" w:hAnsi="Times New Roman" w:eastAsia="宋体" w:cs="Times New Roman"/>
                <w:color w:val="auto"/>
                <w:sz w:val="24"/>
                <w:szCs w:val="24"/>
                <w:highlight w:val="none"/>
              </w:rPr>
              <w:t>水煮烘干、</w:t>
            </w:r>
            <w:r>
              <w:rPr>
                <w:rFonts w:hint="eastAsia" w:cs="Times New Roman"/>
                <w:color w:val="auto"/>
                <w:sz w:val="24"/>
                <w:szCs w:val="24"/>
                <w:highlight w:val="none"/>
                <w:lang w:val="en-US" w:eastAsia="zh-CN"/>
              </w:rPr>
              <w:t>原味瓜子</w:t>
            </w:r>
            <w:r>
              <w:rPr>
                <w:rFonts w:hint="eastAsia" w:ascii="Times New Roman" w:hAnsi="Times New Roman" w:eastAsia="宋体" w:cs="Times New Roman"/>
                <w:color w:val="auto"/>
                <w:sz w:val="24"/>
                <w:szCs w:val="24"/>
                <w:highlight w:val="none"/>
              </w:rPr>
              <w:t>炒制工序生物质燃料</w:t>
            </w:r>
            <w:r>
              <w:rPr>
                <w:rFonts w:hint="eastAsia" w:cs="Times New Roman"/>
                <w:color w:val="auto"/>
                <w:sz w:val="24"/>
                <w:szCs w:val="24"/>
                <w:highlight w:val="none"/>
                <w:lang w:val="en-US" w:eastAsia="zh-CN"/>
              </w:rPr>
              <w:t>燃烧</w:t>
            </w:r>
            <w:r>
              <w:rPr>
                <w:rFonts w:hint="eastAsia" w:ascii="Times New Roman" w:hAnsi="Times New Roman" w:eastAsia="宋体" w:cs="Times New Roman"/>
                <w:color w:val="auto"/>
                <w:sz w:val="24"/>
                <w:szCs w:val="24"/>
                <w:highlight w:val="none"/>
              </w:rPr>
              <w:t>产生的</w:t>
            </w:r>
            <w:r>
              <w:rPr>
                <w:rFonts w:hint="eastAsia" w:cs="Times New Roman"/>
                <w:color w:val="auto"/>
                <w:sz w:val="24"/>
                <w:szCs w:val="24"/>
                <w:highlight w:val="none"/>
                <w:lang w:val="en-US" w:eastAsia="zh-CN"/>
              </w:rPr>
              <w:t>燃烧</w:t>
            </w:r>
            <w:r>
              <w:rPr>
                <w:rFonts w:hint="eastAsia" w:ascii="Times New Roman" w:hAnsi="Times New Roman" w:eastAsia="宋体" w:cs="Times New Roman"/>
                <w:color w:val="auto"/>
                <w:sz w:val="24"/>
                <w:szCs w:val="24"/>
                <w:highlight w:val="none"/>
              </w:rPr>
              <w:t>废气，主要为SO</w:t>
            </w:r>
            <w:r>
              <w:rPr>
                <w:rFonts w:hint="eastAsia" w:ascii="Times New Roman" w:hAnsi="Times New Roman" w:eastAsia="宋体" w:cs="Times New Roman"/>
                <w:color w:val="auto"/>
                <w:sz w:val="24"/>
                <w:szCs w:val="24"/>
                <w:highlight w:val="none"/>
                <w:vertAlign w:val="subscript"/>
              </w:rPr>
              <w:t>2</w:t>
            </w:r>
            <w:r>
              <w:rPr>
                <w:rFonts w:hint="eastAsia" w:ascii="Times New Roman" w:hAnsi="Times New Roman" w:eastAsia="宋体" w:cs="Times New Roman"/>
                <w:color w:val="auto"/>
                <w:sz w:val="24"/>
                <w:szCs w:val="24"/>
                <w:highlight w:val="none"/>
              </w:rPr>
              <w:t>、NO</w:t>
            </w:r>
            <w:r>
              <w:rPr>
                <w:rFonts w:hint="eastAsia" w:ascii="Times New Roman" w:hAnsi="Times New Roman" w:eastAsia="宋体" w:cs="Times New Roman"/>
                <w:color w:val="auto"/>
                <w:sz w:val="24"/>
                <w:szCs w:val="24"/>
                <w:highlight w:val="none"/>
                <w:vertAlign w:val="subscript"/>
              </w:rPr>
              <w:t>X</w:t>
            </w:r>
            <w:r>
              <w:rPr>
                <w:rFonts w:hint="eastAsia" w:ascii="Times New Roman" w:hAnsi="Times New Roman" w:eastAsia="宋体" w:cs="Times New Roman"/>
                <w:color w:val="auto"/>
                <w:sz w:val="24"/>
                <w:szCs w:val="24"/>
                <w:highlight w:val="none"/>
              </w:rPr>
              <w:t>、颗粒物，燃烧废气经排气管道收集后进入布袋除尘器处理，最终由1根15m高排气筒达标排放；</w:t>
            </w:r>
            <w:r>
              <w:rPr>
                <w:rFonts w:hint="eastAsia" w:cs="Times New Roman"/>
                <w:color w:val="auto"/>
                <w:sz w:val="24"/>
                <w:szCs w:val="24"/>
                <w:highlight w:val="none"/>
                <w:lang w:val="en-US" w:eastAsia="zh-CN"/>
              </w:rPr>
              <w:t>多味瓜子水煮工序产生的香料异味、辣椒烘干</w:t>
            </w:r>
            <w:r>
              <w:rPr>
                <w:rFonts w:hint="eastAsia" w:ascii="Times New Roman" w:hAnsi="Times New Roman" w:eastAsia="宋体" w:cs="Times New Roman"/>
                <w:color w:val="auto"/>
                <w:sz w:val="24"/>
                <w:szCs w:val="24"/>
                <w:highlight w:val="none"/>
              </w:rPr>
              <w:t>工序</w:t>
            </w:r>
            <w:r>
              <w:rPr>
                <w:rFonts w:hint="eastAsia" w:cs="Times New Roman"/>
                <w:color w:val="auto"/>
                <w:sz w:val="24"/>
                <w:szCs w:val="24"/>
                <w:highlight w:val="none"/>
                <w:lang w:val="en-US" w:eastAsia="zh-CN"/>
              </w:rPr>
              <w:t>产生的辛辣气味通过车间通风无组织排放；瓜子</w:t>
            </w:r>
            <w:r>
              <w:rPr>
                <w:rFonts w:hint="eastAsia" w:ascii="Times New Roman" w:hAnsi="Times New Roman" w:eastAsia="宋体" w:cs="Times New Roman"/>
                <w:color w:val="auto"/>
                <w:sz w:val="24"/>
                <w:szCs w:val="24"/>
                <w:highlight w:val="none"/>
              </w:rPr>
              <w:t>筛选</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脱皮</w:t>
            </w:r>
            <w:r>
              <w:rPr>
                <w:rFonts w:hint="eastAsia" w:ascii="Times New Roman" w:hAnsi="Times New Roman" w:eastAsia="宋体" w:cs="Times New Roman"/>
                <w:color w:val="auto"/>
                <w:sz w:val="24"/>
                <w:szCs w:val="24"/>
                <w:highlight w:val="none"/>
              </w:rPr>
              <w:t>过程产生的废气，主要成分为颗粒物</w:t>
            </w:r>
            <w:r>
              <w:rPr>
                <w:rFonts w:hint="eastAsia" w:ascii="Times New Roman" w:hAnsi="Times New Roman" w:eastAsia="宋体" w:cs="Times New Roman"/>
                <w:color w:val="auto"/>
                <w:sz w:val="24"/>
                <w:szCs w:val="24"/>
                <w:highlight w:val="none"/>
                <w:lang w:val="en-US" w:eastAsia="zh-CN"/>
              </w:rPr>
              <w:t>，经设备自带除尘器处理后以</w:t>
            </w:r>
            <w:r>
              <w:rPr>
                <w:rFonts w:hint="eastAsia" w:ascii="Times New Roman" w:hAnsi="Times New Roman" w:eastAsia="宋体" w:cs="Times New Roman"/>
                <w:color w:val="auto"/>
                <w:sz w:val="24"/>
                <w:szCs w:val="24"/>
                <w:highlight w:val="none"/>
              </w:rPr>
              <w:t>无组织方式排放。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yellow"/>
              </w:rPr>
            </w:pPr>
            <w:r>
              <w:rPr>
                <w:rFonts w:hint="eastAsia" w:ascii="Times New Roman" w:hAnsi="Times New Roman" w:eastAsia="宋体" w:cs="Times New Roman"/>
                <w:color w:val="auto"/>
                <w:sz w:val="24"/>
                <w:szCs w:val="24"/>
                <w:highlight w:val="none"/>
              </w:rPr>
              <w:t>本项目生产过程水分全部消耗，无</w:t>
            </w:r>
            <w:r>
              <w:rPr>
                <w:rFonts w:hint="eastAsia" w:cs="Times New Roman"/>
                <w:color w:val="auto"/>
                <w:sz w:val="24"/>
                <w:szCs w:val="24"/>
                <w:highlight w:val="none"/>
                <w:lang w:val="en-US" w:eastAsia="zh-CN"/>
              </w:rPr>
              <w:t>生产</w:t>
            </w:r>
            <w:r>
              <w:rPr>
                <w:rFonts w:hint="eastAsia" w:ascii="Times New Roman" w:hAnsi="Times New Roman" w:eastAsia="宋体" w:cs="Times New Roman"/>
                <w:color w:val="auto"/>
                <w:sz w:val="24"/>
                <w:szCs w:val="24"/>
                <w:highlight w:val="none"/>
              </w:rPr>
              <w:t>废水产生；员工产生的生活污水</w:t>
            </w:r>
            <w:r>
              <w:rPr>
                <w:rFonts w:hint="eastAsia" w:cs="Times New Roman"/>
                <w:color w:val="auto"/>
                <w:sz w:val="24"/>
                <w:szCs w:val="24"/>
                <w:highlight w:val="none"/>
                <w:lang w:val="en-US" w:eastAsia="zh-CN"/>
              </w:rPr>
              <w:t>经</w:t>
            </w:r>
            <w:r>
              <w:rPr>
                <w:rFonts w:hint="eastAsia" w:ascii="Times New Roman" w:hAnsi="Times New Roman" w:eastAsia="宋体" w:cs="Times New Roman"/>
                <w:color w:val="auto"/>
                <w:sz w:val="24"/>
                <w:szCs w:val="24"/>
                <w:highlight w:val="none"/>
              </w:rPr>
              <w:t>防渗化粪池处理</w:t>
            </w:r>
            <w:r>
              <w:rPr>
                <w:rFonts w:hint="eastAsia" w:cs="Times New Roman"/>
                <w:color w:val="auto"/>
                <w:sz w:val="24"/>
                <w:szCs w:val="24"/>
                <w:highlight w:val="none"/>
                <w:lang w:val="en-US" w:eastAsia="zh-CN"/>
              </w:rPr>
              <w:t>后</w:t>
            </w:r>
            <w:r>
              <w:rPr>
                <w:rFonts w:hint="eastAsia" w:cs="Times New Roman"/>
                <w:color w:val="FF0000"/>
                <w:sz w:val="24"/>
                <w:szCs w:val="24"/>
                <w:highlight w:val="none"/>
                <w:lang w:val="en-US" w:eastAsia="zh-CN"/>
              </w:rPr>
              <w:t>排入市政污水管网，进银定图镇丰乐新村污水处理站进一步处理</w:t>
            </w:r>
            <w:r>
              <w:rPr>
                <w:rFonts w:hint="eastAsia"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本项目产生的噪声主要为干炒机、筛选机</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去杂机</w:t>
            </w:r>
            <w:r>
              <w:rPr>
                <w:rFonts w:hint="eastAsia" w:ascii="Times New Roman" w:hAnsi="Times New Roman" w:eastAsia="宋体" w:cs="Times New Roman"/>
                <w:color w:val="auto"/>
                <w:sz w:val="24"/>
                <w:szCs w:val="24"/>
                <w:highlight w:val="none"/>
              </w:rPr>
              <w:t>等机械设备运转噪声，通过建筑隔声、设备消声</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基础减震</w:t>
            </w:r>
            <w:r>
              <w:rPr>
                <w:rFonts w:hint="eastAsia" w:ascii="Times New Roman" w:hAnsi="Times New Roman" w:eastAsia="宋体" w:cs="Times New Roman"/>
                <w:color w:val="auto"/>
                <w:sz w:val="24"/>
                <w:szCs w:val="24"/>
                <w:highlight w:val="none"/>
              </w:rPr>
              <w:t>等措施控制。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固体废物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FF0000"/>
                <w:sz w:val="24"/>
                <w:szCs w:val="24"/>
                <w:highlight w:val="none"/>
                <w:lang w:eastAsia="zh-CN"/>
              </w:rPr>
            </w:pPr>
            <w:r>
              <w:rPr>
                <w:rFonts w:hint="eastAsia" w:ascii="Times New Roman" w:hAnsi="Times New Roman" w:eastAsia="宋体" w:cs="Times New Roman"/>
                <w:color w:val="auto"/>
                <w:sz w:val="24"/>
                <w:szCs w:val="24"/>
                <w:highlight w:val="none"/>
              </w:rPr>
              <w:t>本项目产生的固体废物主要为生活垃圾、水煮工序产生的废辅料和煮锅底泥、筛选工序产生的不合格</w:t>
            </w:r>
            <w:r>
              <w:rPr>
                <w:rFonts w:hint="eastAsia" w:cs="Times New Roman"/>
                <w:color w:val="auto"/>
                <w:sz w:val="24"/>
                <w:szCs w:val="24"/>
                <w:highlight w:val="none"/>
                <w:lang w:val="en-US" w:eastAsia="zh-CN"/>
              </w:rPr>
              <w:t>瓜子</w:t>
            </w:r>
            <w:r>
              <w:rPr>
                <w:rFonts w:hint="eastAsia" w:ascii="Times New Roman" w:hAnsi="Times New Roman" w:eastAsia="宋体" w:cs="Times New Roman"/>
                <w:color w:val="auto"/>
                <w:sz w:val="24"/>
                <w:szCs w:val="24"/>
                <w:highlight w:val="none"/>
              </w:rPr>
              <w:t>、除尘灰、</w:t>
            </w:r>
            <w:r>
              <w:rPr>
                <w:rFonts w:hint="eastAsia" w:cs="Times New Roman"/>
                <w:color w:val="auto"/>
                <w:sz w:val="24"/>
                <w:szCs w:val="24"/>
                <w:highlight w:val="none"/>
                <w:lang w:val="en-US" w:eastAsia="zh-CN"/>
              </w:rPr>
              <w:t>生物质燃料</w:t>
            </w:r>
            <w:r>
              <w:rPr>
                <w:rFonts w:hint="eastAsia" w:ascii="Times New Roman" w:hAnsi="Times New Roman" w:eastAsia="宋体" w:cs="Times New Roman"/>
                <w:color w:val="auto"/>
                <w:sz w:val="24"/>
                <w:szCs w:val="24"/>
                <w:highlight w:val="none"/>
              </w:rPr>
              <w:t>灰</w:t>
            </w:r>
            <w:r>
              <w:rPr>
                <w:rFonts w:hint="eastAsia" w:cs="Times New Roman"/>
                <w:color w:val="auto"/>
                <w:sz w:val="24"/>
                <w:szCs w:val="24"/>
                <w:highlight w:val="none"/>
                <w:lang w:val="en-US" w:eastAsia="zh-CN"/>
              </w:rPr>
              <w:t>渣</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辣椒精选产生的不合格辣椒、辣椒梗及石子、砂砾等杂质</w:t>
            </w:r>
            <w:r>
              <w:rPr>
                <w:rFonts w:hint="eastAsia" w:ascii="Times New Roman" w:hAnsi="Times New Roman" w:eastAsia="宋体" w:cs="Times New Roman"/>
                <w:color w:val="auto"/>
                <w:sz w:val="24"/>
                <w:szCs w:val="24"/>
                <w:highlight w:val="none"/>
              </w:rPr>
              <w:t>。生活垃圾、废辅料、煮锅底泥</w:t>
            </w:r>
            <w:r>
              <w:rPr>
                <w:rFonts w:hint="eastAsia" w:cs="Times New Roman"/>
                <w:color w:val="auto"/>
                <w:sz w:val="24"/>
                <w:szCs w:val="24"/>
                <w:highlight w:val="none"/>
                <w:lang w:val="en-US" w:eastAsia="zh-CN"/>
              </w:rPr>
              <w:t>、不合格辣椒、辣椒梗及石子、砂砾等杂质</w:t>
            </w:r>
            <w:r>
              <w:rPr>
                <w:rFonts w:hint="eastAsia" w:ascii="Times New Roman" w:hAnsi="Times New Roman" w:eastAsia="宋体" w:cs="Times New Roman"/>
                <w:color w:val="auto"/>
                <w:sz w:val="24"/>
                <w:szCs w:val="24"/>
                <w:highlight w:val="none"/>
              </w:rPr>
              <w:t>委托环卫部门处置，不合格品收集后用作水煮工序燃料，生物质</w:t>
            </w:r>
            <w:r>
              <w:rPr>
                <w:rFonts w:hint="eastAsia" w:cs="Times New Roman"/>
                <w:color w:val="auto"/>
                <w:sz w:val="24"/>
                <w:szCs w:val="24"/>
                <w:highlight w:val="none"/>
                <w:lang w:val="en-US" w:eastAsia="zh-CN"/>
              </w:rPr>
              <w:t>燃料</w:t>
            </w:r>
            <w:r>
              <w:rPr>
                <w:rFonts w:hint="eastAsia" w:ascii="Times New Roman" w:hAnsi="Times New Roman" w:eastAsia="宋体" w:cs="Times New Roman"/>
                <w:color w:val="FF0000"/>
                <w:sz w:val="24"/>
                <w:szCs w:val="24"/>
                <w:highlight w:val="none"/>
              </w:rPr>
              <w:t>灰</w:t>
            </w:r>
            <w:r>
              <w:rPr>
                <w:rFonts w:hint="eastAsia" w:cs="Times New Roman"/>
                <w:color w:val="FF0000"/>
                <w:sz w:val="24"/>
                <w:szCs w:val="24"/>
                <w:highlight w:val="none"/>
                <w:lang w:val="en-US" w:eastAsia="zh-CN"/>
              </w:rPr>
              <w:t>渣、除尘灰</w:t>
            </w:r>
            <w:r>
              <w:rPr>
                <w:rFonts w:hint="eastAsia" w:ascii="Times New Roman" w:hAnsi="Times New Roman" w:eastAsia="宋体" w:cs="Times New Roman"/>
                <w:color w:val="FF0000"/>
                <w:sz w:val="24"/>
                <w:szCs w:val="24"/>
                <w:highlight w:val="none"/>
              </w:rPr>
              <w:t>外售有机肥厂制作肥料</w:t>
            </w:r>
            <w:r>
              <w:rPr>
                <w:rFonts w:hint="eastAsia" w:cs="Times New Roman"/>
                <w:color w:val="FF0000"/>
                <w:sz w:val="24"/>
                <w:szCs w:val="24"/>
                <w:highlight w:val="none"/>
                <w:lang w:eastAsia="zh-CN"/>
              </w:rPr>
              <w:t>。</w:t>
            </w:r>
          </w:p>
          <w:p>
            <w:pPr>
              <w:pStyle w:val="38"/>
              <w:bidi w:val="0"/>
              <w:jc w:val="both"/>
              <w:rPr>
                <w:rFonts w:hint="eastAsia"/>
                <w:lang w:eastAsia="zh-CN"/>
              </w:rPr>
            </w:pPr>
          </w:p>
          <w:p>
            <w:pPr>
              <w:pStyle w:val="38"/>
              <w:bidi w:val="0"/>
              <w:jc w:val="center"/>
              <w:rPr>
                <w:rFonts w:hint="eastAsia"/>
                <w:sz w:val="24"/>
                <w:szCs w:val="24"/>
                <w:lang w:eastAsia="zh-CN"/>
              </w:rPr>
            </w:pPr>
            <w:r>
              <w:rPr>
                <w:rFonts w:hint="eastAsia"/>
                <w:sz w:val="24"/>
                <w:szCs w:val="24"/>
                <w:lang w:eastAsia="zh-CN"/>
              </w:rPr>
              <w:t>表2-</w:t>
            </w:r>
            <w:r>
              <w:rPr>
                <w:rFonts w:hint="eastAsia"/>
                <w:sz w:val="24"/>
                <w:szCs w:val="24"/>
                <w:lang w:val="en-US" w:eastAsia="zh-CN"/>
              </w:rPr>
              <w:t>7</w:t>
            </w:r>
            <w:r>
              <w:rPr>
                <w:rFonts w:hint="eastAsia"/>
                <w:sz w:val="24"/>
                <w:szCs w:val="24"/>
                <w:lang w:eastAsia="zh-CN"/>
              </w:rPr>
              <w:t xml:space="preserve"> 产排污环节及污染因子表</w:t>
            </w:r>
          </w:p>
          <w:tbl>
            <w:tblPr>
              <w:tblStyle w:val="24"/>
              <w:tblW w:w="802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390"/>
              <w:gridCol w:w="2274"/>
              <w:gridCol w:w="24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Align w:val="center"/>
                </w:tcPr>
                <w:p>
                  <w:pPr>
                    <w:pStyle w:val="39"/>
                    <w:bidi w:val="0"/>
                    <w:jc w:val="center"/>
                    <w:rPr>
                      <w:rFonts w:hint="eastAsia"/>
                      <w:b/>
                      <w:bCs/>
                      <w:lang w:val="en-US" w:eastAsia="zh-CN" w:bidi="ar-SA"/>
                    </w:rPr>
                  </w:pPr>
                  <w:r>
                    <w:rPr>
                      <w:rFonts w:hint="eastAsia"/>
                      <w:b/>
                      <w:bCs/>
                      <w:lang w:val="en-US" w:eastAsia="zh-CN" w:bidi="ar-SA"/>
                    </w:rPr>
                    <w:t>类别</w:t>
                  </w:r>
                </w:p>
              </w:tc>
              <w:tc>
                <w:tcPr>
                  <w:tcW w:w="2390" w:type="dxa"/>
                  <w:vAlign w:val="center"/>
                </w:tcPr>
                <w:p>
                  <w:pPr>
                    <w:pStyle w:val="39"/>
                    <w:bidi w:val="0"/>
                    <w:jc w:val="center"/>
                    <w:rPr>
                      <w:rFonts w:hint="eastAsia"/>
                      <w:b/>
                      <w:bCs/>
                      <w:lang w:val="en-US" w:eastAsia="zh-CN" w:bidi="ar-SA"/>
                    </w:rPr>
                  </w:pPr>
                  <w:r>
                    <w:rPr>
                      <w:rFonts w:hint="eastAsia"/>
                      <w:b/>
                      <w:bCs/>
                      <w:lang w:val="en-US" w:eastAsia="zh-CN" w:bidi="ar-SA"/>
                    </w:rPr>
                    <w:t>产污环节</w:t>
                  </w:r>
                </w:p>
              </w:tc>
              <w:tc>
                <w:tcPr>
                  <w:tcW w:w="2274" w:type="dxa"/>
                  <w:vAlign w:val="center"/>
                </w:tcPr>
                <w:p>
                  <w:pPr>
                    <w:pStyle w:val="39"/>
                    <w:bidi w:val="0"/>
                    <w:jc w:val="center"/>
                    <w:rPr>
                      <w:rFonts w:hint="eastAsia"/>
                      <w:b/>
                      <w:bCs/>
                      <w:lang w:val="en-US" w:eastAsia="zh-CN" w:bidi="ar-SA"/>
                    </w:rPr>
                  </w:pPr>
                  <w:r>
                    <w:rPr>
                      <w:rFonts w:hint="eastAsia"/>
                      <w:b/>
                      <w:bCs/>
                      <w:lang w:val="en-US" w:eastAsia="zh-CN" w:bidi="ar-SA"/>
                    </w:rPr>
                    <w:t>污染物名称</w:t>
                  </w:r>
                </w:p>
              </w:tc>
              <w:tc>
                <w:tcPr>
                  <w:tcW w:w="2489" w:type="dxa"/>
                  <w:vAlign w:val="center"/>
                </w:tcPr>
                <w:p>
                  <w:pPr>
                    <w:pStyle w:val="39"/>
                    <w:bidi w:val="0"/>
                    <w:jc w:val="center"/>
                    <w:rPr>
                      <w:rFonts w:hint="eastAsia"/>
                      <w:b/>
                      <w:bCs/>
                      <w:lang w:val="en-US" w:eastAsia="zh-CN" w:bidi="ar-SA"/>
                    </w:rPr>
                  </w:pPr>
                  <w:r>
                    <w:rPr>
                      <w:rFonts w:hint="eastAsia"/>
                      <w:b/>
                      <w:bCs/>
                      <w:lang w:val="en-US" w:eastAsia="zh-CN" w:bidi="ar-SA"/>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restart"/>
                  <w:vAlign w:val="center"/>
                </w:tcPr>
                <w:p>
                  <w:pPr>
                    <w:pStyle w:val="39"/>
                    <w:bidi w:val="0"/>
                    <w:jc w:val="center"/>
                    <w:rPr>
                      <w:rFonts w:hint="default"/>
                      <w:lang w:val="en-US" w:eastAsia="zh-CN" w:bidi="ar-SA"/>
                    </w:rPr>
                  </w:pPr>
                  <w:r>
                    <w:rPr>
                      <w:rFonts w:hint="eastAsia"/>
                      <w:lang w:val="en-US" w:eastAsia="zh-CN" w:bidi="ar-SA"/>
                    </w:rPr>
                    <w:t>废气</w:t>
                  </w:r>
                </w:p>
              </w:tc>
              <w:tc>
                <w:tcPr>
                  <w:tcW w:w="2390" w:type="dxa"/>
                  <w:vAlign w:val="center"/>
                </w:tcPr>
                <w:p>
                  <w:pPr>
                    <w:pStyle w:val="39"/>
                    <w:bidi w:val="0"/>
                    <w:jc w:val="center"/>
                    <w:rPr>
                      <w:rFonts w:hint="default" w:ascii="Times New Roman" w:hAnsi="Times New Roman" w:cs="Times New Roman"/>
                      <w:lang w:val="en-US" w:eastAsia="zh-CN" w:bidi="ar-SA"/>
                    </w:rPr>
                  </w:pPr>
                  <w:r>
                    <w:rPr>
                      <w:rFonts w:hint="eastAsia" w:ascii="Times New Roman" w:hAnsi="Times New Roman" w:cs="Times New Roman"/>
                      <w:lang w:val="en-US" w:eastAsia="zh-CN" w:bidi="ar-SA"/>
                    </w:rPr>
                    <w:t>多味瓜子水煮烘干工序</w:t>
                  </w:r>
                </w:p>
              </w:tc>
              <w:tc>
                <w:tcPr>
                  <w:tcW w:w="2274" w:type="dxa"/>
                  <w:vMerge w:val="restart"/>
                  <w:vAlign w:val="center"/>
                </w:tcPr>
                <w:p>
                  <w:pPr>
                    <w:pStyle w:val="39"/>
                    <w:bidi w:val="0"/>
                    <w:jc w:val="center"/>
                    <w:rPr>
                      <w:rFonts w:hint="eastAsia" w:ascii="Times New Roman" w:hAnsi="Times New Roman" w:cs="Times New Roman"/>
                      <w:lang w:val="en-US" w:eastAsia="zh-CN" w:bidi="ar-SA"/>
                    </w:rPr>
                  </w:pPr>
                  <w:r>
                    <w:rPr>
                      <w:rFonts w:hint="eastAsia" w:ascii="Times New Roman" w:hAnsi="Times New Roman" w:cs="Times New Roman"/>
                      <w:lang w:val="en-US" w:eastAsia="zh-CN" w:bidi="ar-SA"/>
                    </w:rPr>
                    <w:t>SO</w:t>
                  </w:r>
                  <w:r>
                    <w:rPr>
                      <w:rFonts w:hint="eastAsia" w:ascii="Times New Roman" w:hAnsi="Times New Roman" w:cs="Times New Roman"/>
                      <w:vertAlign w:val="subscript"/>
                      <w:lang w:val="en-US" w:eastAsia="zh-CN" w:bidi="ar-SA"/>
                    </w:rPr>
                    <w:t>2</w:t>
                  </w:r>
                  <w:r>
                    <w:rPr>
                      <w:rFonts w:hint="eastAsia" w:ascii="Times New Roman" w:hAnsi="Times New Roman" w:cs="Times New Roman"/>
                      <w:lang w:val="en-US" w:eastAsia="zh-CN" w:bidi="ar-SA"/>
                    </w:rPr>
                    <w:t>、NO</w:t>
                  </w:r>
                  <w:r>
                    <w:rPr>
                      <w:rFonts w:hint="eastAsia" w:ascii="Times New Roman" w:hAnsi="Times New Roman" w:cs="Times New Roman"/>
                      <w:vertAlign w:val="subscript"/>
                      <w:lang w:val="en-US" w:eastAsia="zh-CN" w:bidi="ar-SA"/>
                    </w:rPr>
                    <w:t>X</w:t>
                  </w:r>
                  <w:r>
                    <w:rPr>
                      <w:rFonts w:hint="eastAsia" w:ascii="Times New Roman" w:hAnsi="Times New Roman" w:cs="Times New Roman"/>
                      <w:lang w:val="en-US" w:eastAsia="zh-CN" w:bidi="ar-SA"/>
                    </w:rPr>
                    <w:t>、颗粒物</w:t>
                  </w:r>
                </w:p>
              </w:tc>
              <w:tc>
                <w:tcPr>
                  <w:tcW w:w="2489" w:type="dxa"/>
                  <w:vMerge w:val="restart"/>
                  <w:vAlign w:val="center"/>
                </w:tcPr>
                <w:p>
                  <w:pPr>
                    <w:pStyle w:val="39"/>
                    <w:bidi w:val="0"/>
                    <w:jc w:val="center"/>
                    <w:rPr>
                      <w:rFonts w:hint="eastAsia"/>
                      <w:lang w:val="en-US" w:eastAsia="zh-CN" w:bidi="ar-SA"/>
                    </w:rPr>
                  </w:pPr>
                  <w:r>
                    <w:rPr>
                      <w:rFonts w:hint="eastAsia"/>
                      <w:lang w:val="en-US" w:eastAsia="zh-CN" w:bidi="ar-SA"/>
                    </w:rPr>
                    <w:t>布袋除尘器+15高排气筒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jc w:val="center"/>
                    <w:rPr>
                      <w:rFonts w:hint="eastAsia" w:ascii="Times New Roman" w:hAnsi="Times New Roman" w:cs="Times New Roman"/>
                      <w:lang w:val="en-US" w:eastAsia="zh-CN" w:bidi="ar-SA"/>
                    </w:rPr>
                  </w:pPr>
                  <w:r>
                    <w:rPr>
                      <w:rFonts w:hint="eastAsia" w:ascii="Times New Roman" w:hAnsi="Times New Roman" w:cs="Times New Roman"/>
                      <w:lang w:val="en-US" w:eastAsia="zh-CN" w:bidi="ar-SA"/>
                    </w:rPr>
                    <w:t>原味瓜子炒制工序</w:t>
                  </w:r>
                </w:p>
              </w:tc>
              <w:tc>
                <w:tcPr>
                  <w:tcW w:w="2274" w:type="dxa"/>
                  <w:vMerge w:val="continue"/>
                  <w:vAlign w:val="center"/>
                </w:tcPr>
                <w:p>
                  <w:pPr>
                    <w:pStyle w:val="39"/>
                    <w:bidi w:val="0"/>
                    <w:jc w:val="center"/>
                    <w:rPr>
                      <w:rFonts w:hint="eastAsia" w:ascii="Times New Roman" w:hAnsi="Times New Roman" w:cs="Times New Roman"/>
                      <w:lang w:val="en-US" w:eastAsia="zh-CN" w:bidi="ar-SA"/>
                    </w:rPr>
                  </w:pPr>
                </w:p>
              </w:tc>
              <w:tc>
                <w:tcPr>
                  <w:tcW w:w="2489" w:type="dxa"/>
                  <w:vMerge w:val="continue"/>
                  <w:vAlign w:val="center"/>
                </w:tcPr>
                <w:p>
                  <w:pPr>
                    <w:pStyle w:val="39"/>
                    <w:bidi w:val="0"/>
                    <w:jc w:val="center"/>
                    <w:rPr>
                      <w:rFonts w:hint="eastAsia"/>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jc w:val="center"/>
                    <w:rPr>
                      <w:rFonts w:hint="eastAsia" w:ascii="Times New Roman" w:hAnsi="Times New Roman" w:cs="Times New Roman"/>
                      <w:lang w:val="en-US" w:eastAsia="zh-CN" w:bidi="ar-SA"/>
                    </w:rPr>
                  </w:pPr>
                  <w:r>
                    <w:rPr>
                      <w:rFonts w:hint="eastAsia" w:ascii="Times New Roman" w:hAnsi="Times New Roman" w:cs="Times New Roman"/>
                      <w:lang w:val="en-US" w:eastAsia="zh-CN" w:bidi="ar-SA"/>
                    </w:rPr>
                    <w:t>辣椒烘干工序</w:t>
                  </w:r>
                </w:p>
              </w:tc>
              <w:tc>
                <w:tcPr>
                  <w:tcW w:w="2274" w:type="dxa"/>
                  <w:vMerge w:val="continue"/>
                  <w:vAlign w:val="center"/>
                </w:tcPr>
                <w:p>
                  <w:pPr>
                    <w:pStyle w:val="39"/>
                    <w:bidi w:val="0"/>
                    <w:jc w:val="center"/>
                    <w:rPr>
                      <w:rFonts w:hint="eastAsia" w:ascii="Times New Roman" w:hAnsi="Times New Roman" w:cs="Times New Roman"/>
                      <w:lang w:val="en-US" w:eastAsia="zh-CN" w:bidi="ar-SA"/>
                    </w:rPr>
                  </w:pPr>
                </w:p>
              </w:tc>
              <w:tc>
                <w:tcPr>
                  <w:tcW w:w="2489" w:type="dxa"/>
                  <w:vMerge w:val="continue"/>
                  <w:vAlign w:val="center"/>
                </w:tcPr>
                <w:p>
                  <w:pPr>
                    <w:pStyle w:val="39"/>
                    <w:bidi w:val="0"/>
                    <w:jc w:val="center"/>
                    <w:rPr>
                      <w:rFonts w:hint="eastAsia"/>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jc w:val="center"/>
                    <w:rPr>
                      <w:rFonts w:hint="eastAsia" w:ascii="Times New Roman" w:hAnsi="Times New Roman" w:cs="Times New Roman"/>
                      <w:lang w:val="en-US" w:eastAsia="zh-CN" w:bidi="ar-SA"/>
                    </w:rPr>
                  </w:pPr>
                  <w:r>
                    <w:rPr>
                      <w:rFonts w:hint="eastAsia" w:cs="Times New Roman"/>
                      <w:color w:val="auto"/>
                      <w:szCs w:val="21"/>
                      <w:lang w:val="en-US" w:eastAsia="zh-CN" w:bidi="ar-SA"/>
                    </w:rPr>
                    <w:t>瓜子水煮、辣椒烘干工序</w:t>
                  </w:r>
                </w:p>
              </w:tc>
              <w:tc>
                <w:tcPr>
                  <w:tcW w:w="2274" w:type="dxa"/>
                  <w:vAlign w:val="center"/>
                </w:tcPr>
                <w:p>
                  <w:pPr>
                    <w:pStyle w:val="39"/>
                    <w:bidi w:val="0"/>
                    <w:jc w:val="center"/>
                    <w:rPr>
                      <w:rFonts w:hint="eastAsia" w:ascii="Times New Roman" w:hAnsi="Times New Roman" w:cs="Times New Roman"/>
                      <w:lang w:val="en-US" w:eastAsia="zh-CN" w:bidi="ar-SA"/>
                    </w:rPr>
                  </w:pPr>
                  <w:r>
                    <w:rPr>
                      <w:rFonts w:hint="eastAsia" w:ascii="Times New Roman" w:hAnsi="Times New Roman" w:cs="Times New Roman"/>
                      <w:lang w:val="en-US" w:eastAsia="zh-CN" w:bidi="ar-SA"/>
                    </w:rPr>
                    <w:t>香料异味、辛辣气味</w:t>
                  </w:r>
                </w:p>
              </w:tc>
              <w:tc>
                <w:tcPr>
                  <w:tcW w:w="2489" w:type="dxa"/>
                  <w:vAlign w:val="center"/>
                </w:tcPr>
                <w:p>
                  <w:pPr>
                    <w:pStyle w:val="39"/>
                    <w:bidi w:val="0"/>
                    <w:jc w:val="center"/>
                    <w:rPr>
                      <w:rFonts w:hint="default"/>
                      <w:lang w:val="en-US" w:eastAsia="zh-CN" w:bidi="ar-SA"/>
                    </w:rPr>
                  </w:pPr>
                  <w:r>
                    <w:rPr>
                      <w:rFonts w:hint="eastAsia"/>
                      <w:lang w:val="en-US" w:eastAsia="zh-CN" w:bidi="ar-SA"/>
                    </w:rPr>
                    <w:t>车间通风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jc w:val="center"/>
                    <w:rPr>
                      <w:rFonts w:hint="eastAsia"/>
                      <w:lang w:val="en-US" w:eastAsia="zh-CN" w:bidi="ar-SA"/>
                    </w:rPr>
                  </w:pPr>
                  <w:r>
                    <w:rPr>
                      <w:rFonts w:hint="eastAsia"/>
                      <w:lang w:val="en-US" w:eastAsia="zh-CN" w:bidi="ar-SA"/>
                    </w:rPr>
                    <w:t>筛选、脱皮工序</w:t>
                  </w:r>
                </w:p>
              </w:tc>
              <w:tc>
                <w:tcPr>
                  <w:tcW w:w="2274" w:type="dxa"/>
                  <w:vAlign w:val="center"/>
                </w:tcPr>
                <w:p>
                  <w:pPr>
                    <w:pStyle w:val="39"/>
                    <w:bidi w:val="0"/>
                    <w:jc w:val="center"/>
                    <w:rPr>
                      <w:rFonts w:hint="eastAsia"/>
                      <w:lang w:val="en-US" w:eastAsia="zh-CN" w:bidi="ar-SA"/>
                    </w:rPr>
                  </w:pPr>
                  <w:r>
                    <w:rPr>
                      <w:rFonts w:hint="eastAsia"/>
                      <w:lang w:val="en-US" w:eastAsia="zh-CN" w:bidi="ar-SA"/>
                    </w:rPr>
                    <w:t>颗粒物</w:t>
                  </w:r>
                </w:p>
              </w:tc>
              <w:tc>
                <w:tcPr>
                  <w:tcW w:w="2489" w:type="dxa"/>
                  <w:vAlign w:val="center"/>
                </w:tcPr>
                <w:p>
                  <w:pPr>
                    <w:pStyle w:val="39"/>
                    <w:bidi w:val="0"/>
                    <w:jc w:val="center"/>
                    <w:rPr>
                      <w:rFonts w:hint="eastAsia"/>
                      <w:lang w:val="en-US" w:eastAsia="zh-CN" w:bidi="ar-SA"/>
                    </w:rPr>
                  </w:pPr>
                  <w:r>
                    <w:rPr>
                      <w:rFonts w:hint="eastAsia"/>
                      <w:lang w:val="en-US" w:eastAsia="zh-CN" w:bidi="ar-SA"/>
                    </w:rPr>
                    <w:t>设备自带收尘装置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Align w:val="center"/>
                </w:tcPr>
                <w:p>
                  <w:pPr>
                    <w:pStyle w:val="39"/>
                    <w:bidi w:val="0"/>
                    <w:jc w:val="center"/>
                    <w:rPr>
                      <w:rFonts w:hint="default"/>
                      <w:lang w:val="en-US" w:eastAsia="zh-CN" w:bidi="ar-SA"/>
                    </w:rPr>
                  </w:pPr>
                  <w:r>
                    <w:rPr>
                      <w:rFonts w:hint="eastAsia"/>
                      <w:lang w:val="en-US" w:eastAsia="zh-CN" w:bidi="ar-SA"/>
                    </w:rPr>
                    <w:t>废水</w:t>
                  </w:r>
                </w:p>
              </w:tc>
              <w:tc>
                <w:tcPr>
                  <w:tcW w:w="2390" w:type="dxa"/>
                  <w:vAlign w:val="center"/>
                </w:tcPr>
                <w:p>
                  <w:pPr>
                    <w:pStyle w:val="39"/>
                    <w:bidi w:val="0"/>
                    <w:jc w:val="center"/>
                    <w:rPr>
                      <w:rFonts w:hint="default"/>
                      <w:lang w:val="en-US" w:eastAsia="zh-CN" w:bidi="ar-SA"/>
                    </w:rPr>
                  </w:pPr>
                  <w:r>
                    <w:rPr>
                      <w:rFonts w:hint="eastAsia"/>
                      <w:lang w:val="en-US" w:eastAsia="zh-CN" w:bidi="ar-SA"/>
                    </w:rPr>
                    <w:t>生活污水</w:t>
                  </w:r>
                </w:p>
              </w:tc>
              <w:tc>
                <w:tcPr>
                  <w:tcW w:w="2274" w:type="dxa"/>
                  <w:vAlign w:val="center"/>
                </w:tcPr>
                <w:p>
                  <w:pPr>
                    <w:pStyle w:val="39"/>
                    <w:bidi w:val="0"/>
                    <w:jc w:val="center"/>
                    <w:rPr>
                      <w:rFonts w:hint="eastAsia"/>
                      <w:lang w:val="en-US" w:eastAsia="zh-CN" w:bidi="ar-SA"/>
                    </w:rPr>
                  </w:pPr>
                  <w:r>
                    <w:rPr>
                      <w:rFonts w:hint="eastAsia"/>
                      <w:lang w:val="en-US" w:eastAsia="zh-CN" w:bidi="ar-SA"/>
                    </w:rPr>
                    <w:t>COD、NH</w:t>
                  </w:r>
                  <w:r>
                    <w:rPr>
                      <w:rFonts w:hint="eastAsia"/>
                      <w:vertAlign w:val="subscript"/>
                      <w:lang w:val="en-US" w:eastAsia="zh-CN" w:bidi="ar-SA"/>
                    </w:rPr>
                    <w:t>3</w:t>
                  </w:r>
                  <w:r>
                    <w:rPr>
                      <w:rFonts w:hint="eastAsia"/>
                      <w:lang w:val="en-US" w:eastAsia="zh-CN" w:bidi="ar-SA"/>
                    </w:rPr>
                    <w:t>-N等</w:t>
                  </w:r>
                </w:p>
              </w:tc>
              <w:tc>
                <w:tcPr>
                  <w:tcW w:w="2489" w:type="dxa"/>
                  <w:vAlign w:val="center"/>
                </w:tcPr>
                <w:p>
                  <w:pPr>
                    <w:pStyle w:val="39"/>
                    <w:bidi w:val="0"/>
                    <w:jc w:val="center"/>
                    <w:rPr>
                      <w:rFonts w:hint="eastAsia"/>
                      <w:lang w:val="en-US" w:eastAsia="zh-CN" w:bidi="ar-SA"/>
                    </w:rPr>
                  </w:pPr>
                  <w:r>
                    <w:rPr>
                      <w:rFonts w:hint="eastAsia"/>
                      <w:lang w:val="en-US" w:eastAsia="zh-CN" w:bidi="ar-SA"/>
                    </w:rPr>
                    <w:t>经防渗化粪池处理后排入市政污水管网</w:t>
                  </w:r>
                  <w:r>
                    <w:rPr>
                      <w:rFonts w:hint="eastAsia"/>
                      <w:color w:val="FF0000"/>
                      <w:highlight w:val="none"/>
                      <w:lang w:val="en-US" w:eastAsia="zh-CN" w:bidi="ar-SA"/>
                    </w:rPr>
                    <w:t>，</w:t>
                  </w:r>
                  <w:r>
                    <w:rPr>
                      <w:rFonts w:hint="eastAsia" w:cs="Times New Roman"/>
                      <w:color w:val="FF0000"/>
                      <w:highlight w:val="none"/>
                      <w:lang w:val="en-US" w:eastAsia="zh-CN" w:bidi="ar-SA"/>
                    </w:rPr>
                    <w:t>进五原县银定图镇丰乐新村污水处理站进一步处理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Align w:val="center"/>
                </w:tcPr>
                <w:p>
                  <w:pPr>
                    <w:pStyle w:val="39"/>
                    <w:bidi w:val="0"/>
                    <w:jc w:val="center"/>
                    <w:rPr>
                      <w:rFonts w:hint="default"/>
                      <w:lang w:val="en-US" w:eastAsia="zh-CN" w:bidi="ar-SA"/>
                    </w:rPr>
                  </w:pPr>
                  <w:r>
                    <w:rPr>
                      <w:rFonts w:hint="eastAsia"/>
                      <w:lang w:val="en-US" w:eastAsia="zh-CN" w:bidi="ar-SA"/>
                    </w:rPr>
                    <w:t>噪声</w:t>
                  </w:r>
                </w:p>
              </w:tc>
              <w:tc>
                <w:tcPr>
                  <w:tcW w:w="2390" w:type="dxa"/>
                  <w:vAlign w:val="center"/>
                </w:tcPr>
                <w:p>
                  <w:pPr>
                    <w:pStyle w:val="39"/>
                    <w:bidi w:val="0"/>
                    <w:jc w:val="center"/>
                    <w:rPr>
                      <w:rFonts w:hint="default"/>
                      <w:lang w:val="en-US" w:eastAsia="zh-CN" w:bidi="ar-SA"/>
                    </w:rPr>
                  </w:pPr>
                  <w:r>
                    <w:rPr>
                      <w:rFonts w:hint="eastAsia"/>
                      <w:lang w:val="en-US" w:eastAsia="zh-CN" w:bidi="ar-SA"/>
                    </w:rPr>
                    <w:t>设备运行</w:t>
                  </w:r>
                </w:p>
              </w:tc>
              <w:tc>
                <w:tcPr>
                  <w:tcW w:w="2274" w:type="dxa"/>
                  <w:vAlign w:val="center"/>
                </w:tcPr>
                <w:p>
                  <w:pPr>
                    <w:pStyle w:val="39"/>
                    <w:bidi w:val="0"/>
                    <w:jc w:val="center"/>
                    <w:rPr>
                      <w:rFonts w:hint="default"/>
                      <w:lang w:val="en-US" w:eastAsia="zh-CN" w:bidi="ar-SA"/>
                    </w:rPr>
                  </w:pPr>
                  <w:r>
                    <w:rPr>
                      <w:rFonts w:hint="eastAsia"/>
                      <w:lang w:val="en-US" w:eastAsia="zh-CN" w:bidi="ar-SA"/>
                    </w:rPr>
                    <w:t>噪声</w:t>
                  </w:r>
                </w:p>
              </w:tc>
              <w:tc>
                <w:tcPr>
                  <w:tcW w:w="2489" w:type="dxa"/>
                  <w:vAlign w:val="center"/>
                </w:tcPr>
                <w:p>
                  <w:pPr>
                    <w:pStyle w:val="39"/>
                    <w:bidi w:val="0"/>
                    <w:jc w:val="center"/>
                    <w:rPr>
                      <w:rFonts w:hint="eastAsia"/>
                      <w:lang w:val="en-US" w:eastAsia="zh-CN" w:bidi="ar-SA"/>
                    </w:rPr>
                  </w:pPr>
                  <w:r>
                    <w:rPr>
                      <w:rFonts w:hint="eastAsia"/>
                      <w:lang w:val="en-US" w:eastAsia="zh-CN" w:bidi="ar-SA"/>
                    </w:rPr>
                    <w:t>建筑隔声、设备消声、基础减震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restart"/>
                  <w:vAlign w:val="center"/>
                </w:tcPr>
                <w:p>
                  <w:pPr>
                    <w:pStyle w:val="39"/>
                    <w:bidi w:val="0"/>
                    <w:jc w:val="center"/>
                    <w:rPr>
                      <w:rFonts w:hint="eastAsia"/>
                      <w:lang w:val="en-US" w:eastAsia="zh-CN" w:bidi="ar-SA"/>
                    </w:rPr>
                  </w:pPr>
                  <w:r>
                    <w:rPr>
                      <w:rFonts w:hint="eastAsia"/>
                      <w:lang w:val="en-US" w:eastAsia="zh-CN" w:bidi="ar-SA"/>
                    </w:rPr>
                    <w:t>固废</w:t>
                  </w:r>
                </w:p>
              </w:tc>
              <w:tc>
                <w:tcPr>
                  <w:tcW w:w="2390" w:type="dxa"/>
                  <w:vAlign w:val="center"/>
                </w:tcPr>
                <w:p>
                  <w:pPr>
                    <w:pStyle w:val="39"/>
                    <w:bidi w:val="0"/>
                    <w:jc w:val="center"/>
                    <w:rPr>
                      <w:rFonts w:hint="eastAsia"/>
                      <w:lang w:val="en-US" w:eastAsia="zh-CN" w:bidi="ar-SA"/>
                    </w:rPr>
                  </w:pPr>
                  <w:r>
                    <w:rPr>
                      <w:rFonts w:hint="eastAsia"/>
                      <w:lang w:val="en-US" w:eastAsia="zh-CN" w:bidi="ar-SA"/>
                    </w:rPr>
                    <w:t>职工生活</w:t>
                  </w:r>
                </w:p>
              </w:tc>
              <w:tc>
                <w:tcPr>
                  <w:tcW w:w="2274" w:type="dxa"/>
                  <w:vAlign w:val="center"/>
                </w:tcPr>
                <w:p>
                  <w:pPr>
                    <w:pStyle w:val="39"/>
                    <w:bidi w:val="0"/>
                    <w:jc w:val="center"/>
                    <w:rPr>
                      <w:rFonts w:hint="default"/>
                      <w:lang w:val="en-US" w:eastAsia="zh-CN" w:bidi="ar-SA"/>
                    </w:rPr>
                  </w:pPr>
                  <w:r>
                    <w:rPr>
                      <w:rFonts w:hint="eastAsia"/>
                      <w:lang w:val="en-US" w:eastAsia="zh-CN" w:bidi="ar-SA"/>
                    </w:rPr>
                    <w:t>生活垃圾</w:t>
                  </w:r>
                </w:p>
              </w:tc>
              <w:tc>
                <w:tcPr>
                  <w:tcW w:w="2489" w:type="dxa"/>
                  <w:vMerge w:val="restart"/>
                  <w:vAlign w:val="center"/>
                </w:tcPr>
                <w:p>
                  <w:pPr>
                    <w:pStyle w:val="39"/>
                    <w:bidi w:val="0"/>
                    <w:jc w:val="center"/>
                    <w:rPr>
                      <w:rFonts w:hint="eastAsia"/>
                      <w:lang w:val="en-US" w:eastAsia="zh-CN" w:bidi="ar-SA"/>
                    </w:rPr>
                  </w:pPr>
                  <w:r>
                    <w:rPr>
                      <w:rFonts w:hint="eastAsia"/>
                      <w:lang w:val="en-US" w:eastAsia="zh-CN" w:bidi="ar-SA"/>
                    </w:rPr>
                    <w:t>委托环卫部门处置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jc w:val="center"/>
                    <w:rPr>
                      <w:rFonts w:hint="default"/>
                      <w:lang w:val="en-US" w:eastAsia="zh-CN" w:bidi="ar-SA"/>
                    </w:rPr>
                  </w:pPr>
                  <w:r>
                    <w:rPr>
                      <w:rFonts w:hint="eastAsia"/>
                      <w:lang w:val="en-US" w:eastAsia="zh-CN" w:bidi="ar-SA"/>
                    </w:rPr>
                    <w:t>水煮工序</w:t>
                  </w:r>
                </w:p>
              </w:tc>
              <w:tc>
                <w:tcPr>
                  <w:tcW w:w="2274" w:type="dxa"/>
                  <w:vAlign w:val="center"/>
                </w:tcPr>
                <w:p>
                  <w:pPr>
                    <w:pStyle w:val="39"/>
                    <w:bidi w:val="0"/>
                    <w:jc w:val="center"/>
                    <w:rPr>
                      <w:rFonts w:hint="eastAsia"/>
                      <w:lang w:val="en-US" w:eastAsia="zh-CN" w:bidi="ar-SA"/>
                    </w:rPr>
                  </w:pPr>
                  <w:r>
                    <w:rPr>
                      <w:rFonts w:hint="eastAsia"/>
                      <w:lang w:val="en-US" w:eastAsia="zh-CN" w:bidi="ar-SA"/>
                    </w:rPr>
                    <w:t>废辅料、煮锅底泥</w:t>
                  </w:r>
                </w:p>
              </w:tc>
              <w:tc>
                <w:tcPr>
                  <w:tcW w:w="2489" w:type="dxa"/>
                  <w:vMerge w:val="continue"/>
                  <w:vAlign w:val="center"/>
                </w:tcPr>
                <w:p>
                  <w:pPr>
                    <w:pStyle w:val="39"/>
                    <w:bidi w:val="0"/>
                    <w:jc w:val="center"/>
                    <w:rPr>
                      <w:rFonts w:hint="eastAsia"/>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ind w:firstLine="0" w:firstLineChars="0"/>
                    <w:jc w:val="center"/>
                    <w:rPr>
                      <w:rFonts w:hint="default"/>
                      <w:lang w:val="en-US" w:eastAsia="zh-CN" w:bidi="ar-SA"/>
                    </w:rPr>
                  </w:pPr>
                  <w:r>
                    <w:rPr>
                      <w:rFonts w:hint="eastAsia"/>
                      <w:lang w:val="en-US" w:eastAsia="zh-CN" w:bidi="ar-SA"/>
                    </w:rPr>
                    <w:t>辣椒精选</w:t>
                  </w:r>
                </w:p>
              </w:tc>
              <w:tc>
                <w:tcPr>
                  <w:tcW w:w="2274" w:type="dxa"/>
                  <w:vAlign w:val="center"/>
                </w:tcPr>
                <w:p>
                  <w:pPr>
                    <w:pStyle w:val="39"/>
                    <w:bidi w:val="0"/>
                    <w:ind w:firstLine="0" w:firstLineChars="0"/>
                    <w:jc w:val="center"/>
                    <w:rPr>
                      <w:rFonts w:hint="default"/>
                      <w:lang w:val="en-US" w:eastAsia="zh-CN" w:bidi="ar-SA"/>
                    </w:rPr>
                  </w:pPr>
                  <w:r>
                    <w:rPr>
                      <w:rFonts w:hint="eastAsia"/>
                      <w:lang w:val="en-US" w:eastAsia="zh-CN" w:bidi="ar-SA"/>
                    </w:rPr>
                    <w:t>不合格辣椒、辣椒梗及石子、砂砾等杂质</w:t>
                  </w:r>
                </w:p>
              </w:tc>
              <w:tc>
                <w:tcPr>
                  <w:tcW w:w="2489" w:type="dxa"/>
                  <w:vMerge w:val="continue"/>
                  <w:vAlign w:val="center"/>
                </w:tcPr>
                <w:p>
                  <w:pPr>
                    <w:pStyle w:val="39"/>
                    <w:bidi w:val="0"/>
                    <w:jc w:val="center"/>
                    <w:rPr>
                      <w:rFonts w:hint="eastAsia"/>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jc w:val="center"/>
                    <w:rPr>
                      <w:rFonts w:hint="eastAsia"/>
                      <w:lang w:val="en-US" w:eastAsia="zh-CN" w:bidi="ar-SA"/>
                    </w:rPr>
                  </w:pPr>
                  <w:r>
                    <w:rPr>
                      <w:rFonts w:hint="eastAsia"/>
                      <w:lang w:val="en-US" w:eastAsia="zh-CN" w:bidi="ar-SA"/>
                    </w:rPr>
                    <w:t>筛选工序</w:t>
                  </w:r>
                </w:p>
              </w:tc>
              <w:tc>
                <w:tcPr>
                  <w:tcW w:w="2274" w:type="dxa"/>
                  <w:vAlign w:val="center"/>
                </w:tcPr>
                <w:p>
                  <w:pPr>
                    <w:pStyle w:val="39"/>
                    <w:bidi w:val="0"/>
                    <w:jc w:val="center"/>
                    <w:rPr>
                      <w:rFonts w:hint="default"/>
                      <w:lang w:val="en-US" w:eastAsia="zh-CN" w:bidi="ar-SA"/>
                    </w:rPr>
                  </w:pPr>
                  <w:r>
                    <w:rPr>
                      <w:rFonts w:hint="eastAsia"/>
                      <w:lang w:val="en-US" w:eastAsia="zh-CN" w:bidi="ar-SA"/>
                    </w:rPr>
                    <w:t>不合格瓜子</w:t>
                  </w:r>
                </w:p>
              </w:tc>
              <w:tc>
                <w:tcPr>
                  <w:tcW w:w="2489" w:type="dxa"/>
                  <w:vAlign w:val="center"/>
                </w:tcPr>
                <w:p>
                  <w:pPr>
                    <w:pStyle w:val="39"/>
                    <w:bidi w:val="0"/>
                    <w:jc w:val="center"/>
                    <w:rPr>
                      <w:rFonts w:hint="eastAsia"/>
                      <w:lang w:val="en-US" w:eastAsia="zh-CN" w:bidi="ar-SA"/>
                    </w:rPr>
                  </w:pPr>
                  <w:r>
                    <w:rPr>
                      <w:rFonts w:hint="eastAsia"/>
                      <w:lang w:val="en-US" w:eastAsia="zh-CN" w:bidi="ar-SA"/>
                    </w:rPr>
                    <w:t>用作水煮工序燃料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ind w:firstLine="0" w:firstLineChars="0"/>
                    <w:jc w:val="center"/>
                    <w:rPr>
                      <w:rFonts w:hint="eastAsia" w:ascii="Times New Roman" w:hAnsi="Times New Roman" w:eastAsia="宋体" w:cs="Times New Roman"/>
                      <w:sz w:val="21"/>
                      <w:lang w:val="en-US" w:eastAsia="zh-CN" w:bidi="ar-SA"/>
                    </w:rPr>
                  </w:pPr>
                  <w:r>
                    <w:rPr>
                      <w:rFonts w:hint="eastAsia"/>
                      <w:lang w:val="en-US" w:eastAsia="zh-CN" w:bidi="ar-SA"/>
                    </w:rPr>
                    <w:t>布袋除尘器</w:t>
                  </w:r>
                </w:p>
              </w:tc>
              <w:tc>
                <w:tcPr>
                  <w:tcW w:w="2274" w:type="dxa"/>
                  <w:vAlign w:val="center"/>
                </w:tcPr>
                <w:p>
                  <w:pPr>
                    <w:pStyle w:val="39"/>
                    <w:bidi w:val="0"/>
                    <w:ind w:firstLine="0" w:firstLineChars="0"/>
                    <w:jc w:val="center"/>
                    <w:rPr>
                      <w:rFonts w:hint="eastAsia" w:ascii="Times New Roman" w:hAnsi="Times New Roman" w:eastAsia="宋体" w:cs="Times New Roman"/>
                      <w:sz w:val="21"/>
                      <w:lang w:val="en-US" w:eastAsia="zh-CN" w:bidi="ar-SA"/>
                    </w:rPr>
                  </w:pPr>
                  <w:r>
                    <w:rPr>
                      <w:rFonts w:hint="eastAsia"/>
                      <w:lang w:val="en-US" w:eastAsia="zh-CN" w:bidi="ar-SA"/>
                    </w:rPr>
                    <w:t>除尘灰</w:t>
                  </w:r>
                </w:p>
              </w:tc>
              <w:tc>
                <w:tcPr>
                  <w:tcW w:w="2489" w:type="dxa"/>
                  <w:vMerge w:val="restart"/>
                  <w:vAlign w:val="center"/>
                </w:tcPr>
                <w:p>
                  <w:pPr>
                    <w:pStyle w:val="39"/>
                    <w:bidi w:val="0"/>
                    <w:ind w:firstLine="0" w:firstLineChars="0"/>
                    <w:jc w:val="center"/>
                    <w:rPr>
                      <w:rFonts w:hint="eastAsia" w:ascii="Times New Roman" w:hAnsi="Times New Roman" w:eastAsia="宋体" w:cs="Times New Roman"/>
                      <w:sz w:val="21"/>
                      <w:lang w:val="en-US" w:eastAsia="zh-CN" w:bidi="ar-SA"/>
                    </w:rPr>
                  </w:pPr>
                  <w:r>
                    <w:rPr>
                      <w:rFonts w:hint="eastAsia"/>
                      <w:lang w:val="en-US" w:eastAsia="zh-CN" w:bidi="ar-SA"/>
                    </w:rPr>
                    <w:t>外售有机肥厂制作肥料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2" w:type="dxa"/>
                  <w:vMerge w:val="continue"/>
                  <w:vAlign w:val="center"/>
                </w:tcPr>
                <w:p>
                  <w:pPr>
                    <w:pStyle w:val="39"/>
                    <w:bidi w:val="0"/>
                    <w:jc w:val="center"/>
                    <w:rPr>
                      <w:rFonts w:hint="eastAsia"/>
                      <w:lang w:val="en-US" w:eastAsia="zh-CN" w:bidi="ar-SA"/>
                    </w:rPr>
                  </w:pPr>
                </w:p>
              </w:tc>
              <w:tc>
                <w:tcPr>
                  <w:tcW w:w="2390" w:type="dxa"/>
                  <w:vAlign w:val="center"/>
                </w:tcPr>
                <w:p>
                  <w:pPr>
                    <w:pStyle w:val="39"/>
                    <w:bidi w:val="0"/>
                    <w:ind w:firstLine="0" w:firstLineChars="0"/>
                    <w:jc w:val="center"/>
                    <w:rPr>
                      <w:rFonts w:hint="default" w:ascii="Times New Roman" w:hAnsi="Times New Roman" w:eastAsia="宋体" w:cs="Times New Roman"/>
                      <w:sz w:val="21"/>
                      <w:lang w:val="en-US" w:eastAsia="zh-CN" w:bidi="ar-SA"/>
                    </w:rPr>
                  </w:pPr>
                  <w:r>
                    <w:rPr>
                      <w:rFonts w:hint="eastAsia"/>
                      <w:lang w:val="en-US" w:eastAsia="zh-CN" w:bidi="ar-SA"/>
                    </w:rPr>
                    <w:t>水煮、烘干、</w:t>
                  </w:r>
                  <w:r>
                    <w:rPr>
                      <w:rFonts w:hint="eastAsia" w:ascii="Times New Roman" w:hAnsi="Times New Roman" w:cs="Times New Roman"/>
                      <w:lang w:val="en-US" w:eastAsia="zh-CN" w:bidi="ar-SA"/>
                    </w:rPr>
                    <w:t>炒制</w:t>
                  </w:r>
                  <w:r>
                    <w:rPr>
                      <w:rFonts w:hint="eastAsia"/>
                      <w:lang w:val="en-US" w:eastAsia="zh-CN" w:bidi="ar-SA"/>
                    </w:rPr>
                    <w:t>工序</w:t>
                  </w:r>
                </w:p>
              </w:tc>
              <w:tc>
                <w:tcPr>
                  <w:tcW w:w="2274" w:type="dxa"/>
                  <w:vAlign w:val="center"/>
                </w:tcPr>
                <w:p>
                  <w:pPr>
                    <w:pStyle w:val="39"/>
                    <w:bidi w:val="0"/>
                    <w:ind w:firstLine="0" w:firstLineChars="0"/>
                    <w:jc w:val="center"/>
                    <w:rPr>
                      <w:rFonts w:hint="default" w:ascii="Times New Roman" w:hAnsi="Times New Roman" w:eastAsia="宋体" w:cs="Times New Roman"/>
                      <w:sz w:val="21"/>
                      <w:lang w:val="en-US" w:eastAsia="zh-CN" w:bidi="ar-SA"/>
                    </w:rPr>
                  </w:pPr>
                  <w:r>
                    <w:rPr>
                      <w:rFonts w:hint="eastAsia"/>
                      <w:color w:val="FF0000"/>
                      <w:highlight w:val="none"/>
                      <w:lang w:val="en-US" w:eastAsia="zh-CN" w:bidi="ar-SA"/>
                    </w:rPr>
                    <w:t>生物质燃料灰渣</w:t>
                  </w:r>
                </w:p>
              </w:tc>
              <w:tc>
                <w:tcPr>
                  <w:tcW w:w="2489" w:type="dxa"/>
                  <w:vMerge w:val="continue"/>
                  <w:vAlign w:val="center"/>
                </w:tcPr>
                <w:p>
                  <w:pPr>
                    <w:pStyle w:val="39"/>
                    <w:bidi w:val="0"/>
                    <w:ind w:firstLine="0" w:firstLineChars="0"/>
                    <w:jc w:val="center"/>
                    <w:rPr>
                      <w:rFonts w:hint="eastAsia" w:ascii="Times New Roman" w:hAnsi="Times New Roman" w:eastAsia="宋体" w:cs="Times New Roman"/>
                      <w:sz w:val="21"/>
                      <w:lang w:val="en-US" w:eastAsia="zh-CN" w:bidi="ar-SA"/>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eastAsia" w:ascii="Times New Roman" w:eastAsia="宋体" w:cs="Times New Roman"/>
                <w:bCs/>
                <w:color w:val="auto"/>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 w:type="dxa"/>
            <w:noWrap w:val="0"/>
            <w:vAlign w:val="center"/>
          </w:tcPr>
          <w:p>
            <w:pPr>
              <w:pStyle w:val="20"/>
              <w:adjustRightInd w:val="0"/>
              <w:snapToGrid w:val="0"/>
              <w:spacing w:before="0" w:beforeAutospacing="0" w:after="0" w:afterAutospacing="0"/>
              <w:jc w:val="center"/>
              <w:rPr>
                <w:rFonts w:ascii="Times New Roman" w:hAnsi="Times New Roman"/>
                <w:color w:val="auto"/>
                <w:szCs w:val="24"/>
              </w:rPr>
            </w:pPr>
            <w:r>
              <w:rPr>
                <w:rFonts w:ascii="Times New Roman" w:hAnsi="Times New Roman"/>
                <w:bCs/>
                <w:color w:val="auto"/>
                <w:kern w:val="2"/>
                <w:szCs w:val="24"/>
              </w:rPr>
              <w:t>与项目有关的原有环境污染问题</w:t>
            </w:r>
          </w:p>
        </w:tc>
        <w:tc>
          <w:tcPr>
            <w:tcW w:w="8241" w:type="dxa"/>
            <w:noWrap w:val="0"/>
            <w:vAlign w:val="center"/>
          </w:tcPr>
          <w:p>
            <w:pPr>
              <w:ind w:firstLine="480" w:firstLineChars="200"/>
              <w:rPr>
                <w:rFonts w:hint="eastAsia" w:eastAsia="宋体"/>
                <w:bCs/>
                <w:color w:val="auto"/>
                <w:sz w:val="24"/>
                <w:lang w:val="en-US" w:eastAsia="zh-CN"/>
              </w:rPr>
            </w:pPr>
            <w:r>
              <w:rPr>
                <w:rFonts w:hint="eastAsia" w:eastAsia="宋体"/>
                <w:bCs/>
                <w:color w:val="auto"/>
                <w:sz w:val="24"/>
                <w:lang w:val="en-US" w:eastAsia="zh-CN"/>
              </w:rPr>
              <w:t>本项目属于新建项目，根据现场踏勘，拟建厂址为空地，无遗留污染，</w:t>
            </w:r>
            <w:r>
              <w:rPr>
                <w:rFonts w:hint="eastAsia"/>
                <w:bCs/>
                <w:color w:val="auto"/>
                <w:sz w:val="24"/>
                <w:lang w:val="en-US" w:eastAsia="zh-CN"/>
              </w:rPr>
              <w:t>无</w:t>
            </w:r>
            <w:r>
              <w:rPr>
                <w:rFonts w:hint="eastAsia" w:eastAsia="宋体"/>
                <w:bCs/>
                <w:color w:val="auto"/>
                <w:sz w:val="24"/>
                <w:lang w:val="en-US" w:eastAsia="zh-CN"/>
              </w:rPr>
              <w:t>与本项目有关的原有环境污染问题。</w:t>
            </w:r>
          </w:p>
        </w:tc>
      </w:tr>
    </w:tbl>
    <w:p>
      <w:pPr>
        <w:pStyle w:val="20"/>
        <w:jc w:val="center"/>
        <w:rPr>
          <w:rFonts w:ascii="Times New Roman" w:hAnsi="Times New Roman" w:eastAsia="黑体"/>
          <w:snapToGrid w:val="0"/>
          <w:color w:val="auto"/>
          <w:sz w:val="36"/>
          <w:szCs w:val="36"/>
        </w:rPr>
        <w:sectPr>
          <w:pgSz w:w="11906" w:h="16838"/>
          <w:pgMar w:top="1701" w:right="1531" w:bottom="1701" w:left="1531" w:header="851" w:footer="851" w:gutter="0"/>
          <w:pgNumType w:fmt="decimal"/>
          <w:cols w:space="720" w:num="1"/>
          <w:docGrid w:linePitch="312" w:charSpace="0"/>
        </w:sectPr>
      </w:pPr>
    </w:p>
    <w:p>
      <w:pPr>
        <w:pStyle w:val="20"/>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三、区域环境质量现状、环境保护目标及评价标准</w:t>
      </w:r>
    </w:p>
    <w:tbl>
      <w:tblPr>
        <w:tblStyle w:val="23"/>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2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pPr>
              <w:adjustRightInd w:val="0"/>
              <w:snapToGrid w:val="0"/>
              <w:jc w:val="center"/>
              <w:rPr>
                <w:color w:val="auto"/>
                <w:kern w:val="0"/>
                <w:sz w:val="24"/>
              </w:rPr>
            </w:pPr>
            <w:r>
              <w:rPr>
                <w:color w:val="auto"/>
                <w:kern w:val="0"/>
                <w:sz w:val="24"/>
              </w:rPr>
              <w:t>区域</w:t>
            </w:r>
          </w:p>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质量</w:t>
            </w:r>
          </w:p>
          <w:p>
            <w:pPr>
              <w:adjustRightInd w:val="0"/>
              <w:snapToGrid w:val="0"/>
              <w:jc w:val="center"/>
              <w:rPr>
                <w:color w:val="auto"/>
                <w:kern w:val="0"/>
                <w:sz w:val="24"/>
              </w:rPr>
            </w:pPr>
            <w:r>
              <w:rPr>
                <w:color w:val="auto"/>
                <w:kern w:val="0"/>
                <w:sz w:val="24"/>
              </w:rPr>
              <w:t>现状</w:t>
            </w:r>
          </w:p>
        </w:tc>
        <w:tc>
          <w:tcPr>
            <w:tcW w:w="8190" w:type="dxa"/>
            <w:noWrap w:val="0"/>
            <w:vAlign w:val="center"/>
          </w:tcPr>
          <w:p>
            <w:pPr>
              <w:keepNext w:val="0"/>
              <w:keepLines w:val="0"/>
              <w:pageBreakBefore w:val="0"/>
              <w:widowControl w:val="0"/>
              <w:tabs>
                <w:tab w:val="left" w:pos="3555"/>
              </w:tabs>
              <w:kinsoku/>
              <w:wordWrap/>
              <w:overflowPunct/>
              <w:topLinePunct w:val="0"/>
              <w:autoSpaceDE/>
              <w:autoSpaceDN/>
              <w:bidi w:val="0"/>
              <w:adjustRightInd/>
              <w:snapToGrid/>
              <w:spacing w:before="157" w:beforeLines="50"/>
              <w:ind w:firstLine="482" w:firstLineChars="200"/>
              <w:textAlignment w:val="auto"/>
              <w:rPr>
                <w:b/>
                <w:bCs/>
                <w:color w:val="auto"/>
                <w:sz w:val="24"/>
              </w:rPr>
            </w:pPr>
            <w:r>
              <w:rPr>
                <w:b/>
                <w:color w:val="auto"/>
                <w:sz w:val="24"/>
              </w:rPr>
              <w:t>1</w:t>
            </w:r>
            <w:r>
              <w:rPr>
                <w:b/>
                <w:bCs/>
                <w:color w:val="auto"/>
                <w:sz w:val="24"/>
              </w:rPr>
              <w:t>、大气环境质量现状</w:t>
            </w:r>
          </w:p>
          <w:p>
            <w:pPr>
              <w:ind w:firstLine="482" w:firstLineChars="200"/>
              <w:rPr>
                <w:b/>
                <w:color w:val="auto"/>
                <w:sz w:val="24"/>
              </w:rPr>
            </w:pPr>
            <w:r>
              <w:rPr>
                <w:b/>
                <w:color w:val="auto"/>
                <w:sz w:val="24"/>
              </w:rPr>
              <w:t>（1）</w:t>
            </w:r>
            <w:r>
              <w:rPr>
                <w:rFonts w:hint="eastAsia"/>
                <w:b/>
                <w:color w:val="auto"/>
                <w:sz w:val="24"/>
                <w:lang w:val="en-US" w:eastAsia="zh-CN"/>
              </w:rPr>
              <w:t>项目所在区域达标判定</w:t>
            </w:r>
          </w:p>
          <w:p>
            <w:pPr>
              <w:pStyle w:val="6"/>
              <w:bidi w:val="0"/>
              <w:rPr>
                <w:rFonts w:hint="eastAsia" w:ascii="Times New Roman" w:hAnsi="Times New Roman" w:eastAsia="宋体" w:cs="Times New Roman"/>
                <w:color w:val="auto"/>
                <w:lang w:eastAsia="zh-CN"/>
              </w:rPr>
            </w:pPr>
            <w:r>
              <w:t>项目选址位于</w:t>
            </w:r>
            <w:r>
              <w:rPr>
                <w:rFonts w:hint="eastAsia"/>
              </w:rPr>
              <w:t>巴彦淖尔市五原县</w:t>
            </w:r>
            <w:r>
              <w:rPr>
                <w:rFonts w:hint="eastAsia"/>
                <w:lang w:val="en-US" w:eastAsia="zh-CN"/>
              </w:rPr>
              <w:t>银定图镇</w:t>
            </w:r>
            <w:r>
              <w:t>，</w:t>
            </w:r>
            <w:r>
              <w:rPr>
                <w:rFonts w:hint="eastAsia"/>
              </w:rPr>
              <w:t>根据巴彦淖尔市生态环境局2</w:t>
            </w:r>
            <w:r>
              <w:t>022</w:t>
            </w:r>
            <w:r>
              <w:rPr>
                <w:rFonts w:hint="eastAsia"/>
                <w:color w:val="FF0000"/>
                <w:highlight w:val="none"/>
              </w:rPr>
              <w:t>年</w:t>
            </w:r>
            <w:r>
              <w:rPr>
                <w:rFonts w:hint="eastAsia"/>
                <w:color w:val="FF0000"/>
                <w:highlight w:val="none"/>
                <w:lang w:val="en-US" w:eastAsia="zh-CN"/>
              </w:rPr>
              <w:t>6</w:t>
            </w:r>
            <w:r>
              <w:rPr>
                <w:rFonts w:hint="eastAsia"/>
                <w:color w:val="FF0000"/>
                <w:highlight w:val="none"/>
              </w:rPr>
              <w:t>月</w:t>
            </w:r>
            <w:r>
              <w:rPr>
                <w:rFonts w:hint="eastAsia"/>
              </w:rPr>
              <w:t>发布的</w:t>
            </w:r>
            <w:r>
              <w:t>《</w:t>
            </w:r>
            <w:r>
              <w:rPr>
                <w:rFonts w:hint="eastAsia"/>
              </w:rPr>
              <w:t>巴彦淖尔市环境质量状况公报（2</w:t>
            </w:r>
            <w:r>
              <w:t>021</w:t>
            </w:r>
            <w:r>
              <w:rPr>
                <w:rFonts w:hint="eastAsia"/>
              </w:rPr>
              <w:t>年）</w:t>
            </w:r>
            <w:r>
              <w:t>》</w:t>
            </w:r>
            <w:r>
              <w:rPr>
                <w:rFonts w:hint="eastAsia"/>
                <w:lang w:eastAsia="zh-CN"/>
              </w:rPr>
              <w:t>，</w:t>
            </w:r>
            <w:r>
              <w:rPr>
                <w:rFonts w:hint="eastAsia"/>
                <w:lang w:val="en-US" w:eastAsia="zh-CN"/>
              </w:rPr>
              <w:t>项目所在区域</w:t>
            </w:r>
            <w:r>
              <w:rPr>
                <w:rFonts w:hint="eastAsia"/>
              </w:rPr>
              <w:t>基本污染物环境质量现状评价见表3-1</w:t>
            </w:r>
            <w:r>
              <w:rPr>
                <w:rFonts w:hint="eastAsia"/>
                <w:lang w:eastAsia="zh-CN"/>
              </w:rPr>
              <w:t>。</w:t>
            </w:r>
          </w:p>
          <w:p>
            <w:pPr>
              <w:pStyle w:val="38"/>
              <w:bidi w:val="0"/>
              <w:rPr>
                <w:sz w:val="24"/>
                <w:szCs w:val="24"/>
              </w:rPr>
            </w:pPr>
            <w:r>
              <w:rPr>
                <w:rFonts w:hint="eastAsia"/>
                <w:sz w:val="24"/>
                <w:szCs w:val="24"/>
              </w:rPr>
              <w:t>表</w:t>
            </w:r>
            <w:r>
              <w:rPr>
                <w:sz w:val="24"/>
                <w:szCs w:val="24"/>
              </w:rPr>
              <w:t xml:space="preserve">3-1 </w:t>
            </w:r>
            <w:r>
              <w:rPr>
                <w:rFonts w:hint="eastAsia"/>
                <w:sz w:val="24"/>
                <w:szCs w:val="24"/>
              </w:rPr>
              <w:t>基本污染物环境质量现状</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2"/>
              <w:gridCol w:w="1998"/>
              <w:gridCol w:w="1376"/>
              <w:gridCol w:w="1464"/>
              <w:gridCol w:w="1066"/>
              <w:gridCol w:w="1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b/>
                      <w:bCs/>
                      <w:lang w:val="en-US" w:eastAsia="zh-CN"/>
                    </w:rPr>
                  </w:pPr>
                  <w:r>
                    <w:rPr>
                      <w:b/>
                      <w:bCs/>
                      <w:lang w:val="en-US" w:eastAsia="zh-CN"/>
                    </w:rPr>
                    <w:t>评价因子</w:t>
                  </w:r>
                </w:p>
              </w:tc>
              <w:tc>
                <w:tcPr>
                  <w:tcW w:w="1242" w:type="pct"/>
                  <w:vAlign w:val="center"/>
                </w:tcPr>
                <w:p>
                  <w:pPr>
                    <w:pStyle w:val="39"/>
                    <w:bidi w:val="0"/>
                    <w:rPr>
                      <w:b/>
                      <w:bCs/>
                    </w:rPr>
                  </w:pPr>
                  <w:r>
                    <w:rPr>
                      <w:b/>
                      <w:bCs/>
                    </w:rPr>
                    <w:t>评价时段</w:t>
                  </w:r>
                </w:p>
              </w:tc>
              <w:tc>
                <w:tcPr>
                  <w:tcW w:w="855" w:type="pct"/>
                  <w:vAlign w:val="center"/>
                </w:tcPr>
                <w:p>
                  <w:pPr>
                    <w:pStyle w:val="39"/>
                    <w:bidi w:val="0"/>
                    <w:rPr>
                      <w:b/>
                      <w:bCs/>
                    </w:rPr>
                  </w:pPr>
                  <w:r>
                    <w:rPr>
                      <w:b/>
                      <w:bCs/>
                    </w:rPr>
                    <w:t>现状浓度/（μg/m</w:t>
                  </w:r>
                  <w:r>
                    <w:rPr>
                      <w:b/>
                      <w:bCs/>
                      <w:vertAlign w:val="superscript"/>
                    </w:rPr>
                    <w:t>3</w:t>
                  </w:r>
                  <w:r>
                    <w:rPr>
                      <w:b/>
                      <w:bCs/>
                    </w:rPr>
                    <w:t>）</w:t>
                  </w:r>
                </w:p>
              </w:tc>
              <w:tc>
                <w:tcPr>
                  <w:tcW w:w="910" w:type="pct"/>
                  <w:vAlign w:val="center"/>
                </w:tcPr>
                <w:p>
                  <w:pPr>
                    <w:pStyle w:val="39"/>
                    <w:bidi w:val="0"/>
                    <w:rPr>
                      <w:b/>
                      <w:bCs/>
                    </w:rPr>
                  </w:pPr>
                  <w:r>
                    <w:rPr>
                      <w:b/>
                      <w:bCs/>
                    </w:rPr>
                    <w:t>标准值/（μg/m</w:t>
                  </w:r>
                  <w:r>
                    <w:rPr>
                      <w:b/>
                      <w:bCs/>
                      <w:vertAlign w:val="superscript"/>
                    </w:rPr>
                    <w:t>3</w:t>
                  </w:r>
                  <w:r>
                    <w:rPr>
                      <w:b/>
                      <w:bCs/>
                    </w:rPr>
                    <w:t>）</w:t>
                  </w:r>
                </w:p>
              </w:tc>
              <w:tc>
                <w:tcPr>
                  <w:tcW w:w="663" w:type="pct"/>
                  <w:vAlign w:val="center"/>
                </w:tcPr>
                <w:p>
                  <w:pPr>
                    <w:pStyle w:val="39"/>
                    <w:bidi w:val="0"/>
                    <w:rPr>
                      <w:b/>
                      <w:bCs/>
                    </w:rPr>
                  </w:pPr>
                  <w:r>
                    <w:rPr>
                      <w:b/>
                      <w:bCs/>
                    </w:rPr>
                    <w:t>占标率/％</w:t>
                  </w:r>
                </w:p>
              </w:tc>
              <w:tc>
                <w:tcPr>
                  <w:tcW w:w="682" w:type="pct"/>
                  <w:vAlign w:val="center"/>
                </w:tcPr>
                <w:p>
                  <w:pPr>
                    <w:pStyle w:val="39"/>
                    <w:bidi w:val="0"/>
                    <w:rPr>
                      <w:b/>
                      <w:bCs/>
                    </w:rPr>
                  </w:pPr>
                  <w:r>
                    <w:rPr>
                      <w:b/>
                      <w:bCs/>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lang w:val="en-US" w:eastAsia="zh-CN"/>
                    </w:rPr>
                  </w:pPr>
                  <w:r>
                    <w:rPr>
                      <w:lang w:val="en-US" w:eastAsia="zh-CN"/>
                    </w:rPr>
                    <w:t>SO</w:t>
                  </w:r>
                  <w:r>
                    <w:rPr>
                      <w:vertAlign w:val="subscript"/>
                      <w:lang w:val="en-US" w:eastAsia="zh-CN"/>
                    </w:rPr>
                    <w:t>2</w:t>
                  </w:r>
                </w:p>
              </w:tc>
              <w:tc>
                <w:tcPr>
                  <w:tcW w:w="1242" w:type="pct"/>
                  <w:vAlign w:val="center"/>
                </w:tcPr>
                <w:p>
                  <w:pPr>
                    <w:pStyle w:val="39"/>
                    <w:bidi w:val="0"/>
                    <w:rPr>
                      <w:lang w:val="en-US" w:eastAsia="zh-CN"/>
                    </w:rPr>
                  </w:pPr>
                  <w:r>
                    <w:rPr>
                      <w:lang w:val="en-US" w:eastAsia="zh-CN"/>
                    </w:rPr>
                    <w:t>年平均</w:t>
                  </w:r>
                  <w:r>
                    <w:rPr>
                      <w:rFonts w:hint="eastAsia"/>
                      <w:lang w:val="en-US" w:eastAsia="zh-CN"/>
                    </w:rPr>
                    <w:t>质量浓度</w:t>
                  </w:r>
                </w:p>
              </w:tc>
              <w:tc>
                <w:tcPr>
                  <w:tcW w:w="855" w:type="pct"/>
                  <w:vAlign w:val="center"/>
                </w:tcPr>
                <w:p>
                  <w:pPr>
                    <w:pStyle w:val="39"/>
                    <w:bidi w:val="0"/>
                    <w:rPr>
                      <w:lang w:val="en-US" w:eastAsia="zh-CN"/>
                    </w:rPr>
                  </w:pPr>
                  <w:r>
                    <w:rPr>
                      <w:lang w:val="en-US" w:eastAsia="zh-CN"/>
                    </w:rPr>
                    <w:t>17</w:t>
                  </w:r>
                </w:p>
              </w:tc>
              <w:tc>
                <w:tcPr>
                  <w:tcW w:w="910" w:type="pct"/>
                  <w:vAlign w:val="center"/>
                </w:tcPr>
                <w:p>
                  <w:pPr>
                    <w:pStyle w:val="39"/>
                    <w:bidi w:val="0"/>
                    <w:rPr>
                      <w:lang w:val="en-US" w:eastAsia="zh-CN"/>
                    </w:rPr>
                  </w:pPr>
                  <w:r>
                    <w:rPr>
                      <w:rFonts w:hint="eastAsia"/>
                      <w:lang w:val="en-US" w:eastAsia="zh-CN"/>
                    </w:rPr>
                    <w:t>6</w:t>
                  </w:r>
                  <w:r>
                    <w:rPr>
                      <w:lang w:val="en-US" w:eastAsia="zh-CN"/>
                    </w:rPr>
                    <w:t>0</w:t>
                  </w:r>
                </w:p>
              </w:tc>
              <w:tc>
                <w:tcPr>
                  <w:tcW w:w="663" w:type="pct"/>
                  <w:vAlign w:val="center"/>
                </w:tcPr>
                <w:p>
                  <w:pPr>
                    <w:pStyle w:val="39"/>
                    <w:bidi w:val="0"/>
                    <w:rPr>
                      <w:lang w:val="en-US" w:eastAsia="zh-CN"/>
                    </w:rPr>
                  </w:pPr>
                  <w:r>
                    <w:rPr>
                      <w:lang w:val="en-US" w:eastAsia="zh-CN"/>
                    </w:rPr>
                    <w:t>28.33</w:t>
                  </w:r>
                </w:p>
              </w:tc>
              <w:tc>
                <w:tcPr>
                  <w:tcW w:w="682" w:type="pct"/>
                  <w:vAlign w:val="center"/>
                </w:tcPr>
                <w:p>
                  <w:pPr>
                    <w:pStyle w:val="39"/>
                    <w:bidi w:val="0"/>
                    <w:rPr>
                      <w:lang w:val="en-US" w:eastAsia="zh-CN"/>
                    </w:rPr>
                  </w:pPr>
                  <w:r>
                    <w:rPr>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lang w:val="en-US" w:eastAsia="zh-CN"/>
                    </w:rPr>
                  </w:pPr>
                  <w:r>
                    <w:rPr>
                      <w:lang w:val="en-US" w:eastAsia="zh-CN"/>
                    </w:rPr>
                    <w:t>NO</w:t>
                  </w:r>
                  <w:r>
                    <w:rPr>
                      <w:vertAlign w:val="subscript"/>
                      <w:lang w:val="en-US" w:eastAsia="zh-CN"/>
                    </w:rPr>
                    <w:t>2</w:t>
                  </w:r>
                </w:p>
              </w:tc>
              <w:tc>
                <w:tcPr>
                  <w:tcW w:w="1242" w:type="pct"/>
                  <w:vAlign w:val="center"/>
                </w:tcPr>
                <w:p>
                  <w:pPr>
                    <w:pStyle w:val="39"/>
                    <w:bidi w:val="0"/>
                    <w:rPr>
                      <w:lang w:val="en-US" w:eastAsia="zh-CN"/>
                    </w:rPr>
                  </w:pPr>
                  <w:r>
                    <w:rPr>
                      <w:lang w:val="en-US" w:eastAsia="zh-CN"/>
                    </w:rPr>
                    <w:t>年平均</w:t>
                  </w:r>
                  <w:r>
                    <w:rPr>
                      <w:rFonts w:hint="eastAsia"/>
                      <w:lang w:val="en-US" w:eastAsia="zh-CN"/>
                    </w:rPr>
                    <w:t>质量浓度</w:t>
                  </w:r>
                </w:p>
              </w:tc>
              <w:tc>
                <w:tcPr>
                  <w:tcW w:w="855" w:type="pct"/>
                  <w:vAlign w:val="center"/>
                </w:tcPr>
                <w:p>
                  <w:pPr>
                    <w:pStyle w:val="39"/>
                    <w:bidi w:val="0"/>
                    <w:rPr>
                      <w:lang w:val="en-US" w:eastAsia="zh-CN"/>
                    </w:rPr>
                  </w:pPr>
                  <w:r>
                    <w:rPr>
                      <w:lang w:val="en-US" w:eastAsia="zh-CN"/>
                    </w:rPr>
                    <w:t>21</w:t>
                  </w:r>
                </w:p>
              </w:tc>
              <w:tc>
                <w:tcPr>
                  <w:tcW w:w="910" w:type="pct"/>
                  <w:vAlign w:val="center"/>
                </w:tcPr>
                <w:p>
                  <w:pPr>
                    <w:pStyle w:val="39"/>
                    <w:bidi w:val="0"/>
                    <w:rPr>
                      <w:lang w:val="en-US" w:eastAsia="zh-CN"/>
                    </w:rPr>
                  </w:pPr>
                  <w:r>
                    <w:rPr>
                      <w:rFonts w:hint="eastAsia"/>
                      <w:lang w:val="en-US" w:eastAsia="zh-CN"/>
                    </w:rPr>
                    <w:t>4</w:t>
                  </w:r>
                  <w:r>
                    <w:rPr>
                      <w:lang w:val="en-US" w:eastAsia="zh-CN"/>
                    </w:rPr>
                    <w:t>0</w:t>
                  </w:r>
                </w:p>
              </w:tc>
              <w:tc>
                <w:tcPr>
                  <w:tcW w:w="663" w:type="pct"/>
                  <w:vAlign w:val="center"/>
                </w:tcPr>
                <w:p>
                  <w:pPr>
                    <w:pStyle w:val="39"/>
                    <w:bidi w:val="0"/>
                    <w:rPr>
                      <w:lang w:val="en-US" w:eastAsia="zh-CN"/>
                    </w:rPr>
                  </w:pPr>
                  <w:r>
                    <w:rPr>
                      <w:lang w:val="en-US" w:eastAsia="zh-CN"/>
                    </w:rPr>
                    <w:t>52.50</w:t>
                  </w:r>
                </w:p>
              </w:tc>
              <w:tc>
                <w:tcPr>
                  <w:tcW w:w="682" w:type="pct"/>
                  <w:vAlign w:val="center"/>
                </w:tcPr>
                <w:p>
                  <w:pPr>
                    <w:pStyle w:val="39"/>
                    <w:bidi w:val="0"/>
                    <w:rPr>
                      <w:lang w:val="en-US" w:eastAsia="zh-CN"/>
                    </w:rPr>
                  </w:pPr>
                  <w:r>
                    <w:rPr>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lang w:val="en-US" w:eastAsia="zh-CN"/>
                    </w:rPr>
                  </w:pPr>
                  <w:r>
                    <w:rPr>
                      <w:lang w:val="en-US" w:eastAsia="zh-CN"/>
                    </w:rPr>
                    <w:t>PM</w:t>
                  </w:r>
                  <w:r>
                    <w:rPr>
                      <w:vertAlign w:val="subscript"/>
                      <w:lang w:val="en-US" w:eastAsia="zh-CN"/>
                    </w:rPr>
                    <w:t>10</w:t>
                  </w:r>
                </w:p>
              </w:tc>
              <w:tc>
                <w:tcPr>
                  <w:tcW w:w="1242" w:type="pct"/>
                  <w:vAlign w:val="center"/>
                </w:tcPr>
                <w:p>
                  <w:pPr>
                    <w:pStyle w:val="39"/>
                    <w:bidi w:val="0"/>
                    <w:rPr>
                      <w:lang w:val="en-US" w:eastAsia="zh-CN"/>
                    </w:rPr>
                  </w:pPr>
                  <w:r>
                    <w:rPr>
                      <w:lang w:val="en-US" w:eastAsia="zh-CN"/>
                    </w:rPr>
                    <w:t>年平均</w:t>
                  </w:r>
                  <w:r>
                    <w:rPr>
                      <w:rFonts w:hint="eastAsia"/>
                      <w:lang w:val="en-US" w:eastAsia="zh-CN"/>
                    </w:rPr>
                    <w:t>质量浓度</w:t>
                  </w:r>
                </w:p>
              </w:tc>
              <w:tc>
                <w:tcPr>
                  <w:tcW w:w="855" w:type="pct"/>
                  <w:vAlign w:val="center"/>
                </w:tcPr>
                <w:p>
                  <w:pPr>
                    <w:pStyle w:val="39"/>
                    <w:bidi w:val="0"/>
                    <w:rPr>
                      <w:lang w:val="en-US" w:eastAsia="zh-CN"/>
                    </w:rPr>
                  </w:pPr>
                  <w:r>
                    <w:rPr>
                      <w:lang w:val="en-US" w:eastAsia="zh-CN"/>
                    </w:rPr>
                    <w:t>61</w:t>
                  </w:r>
                </w:p>
              </w:tc>
              <w:tc>
                <w:tcPr>
                  <w:tcW w:w="910" w:type="pct"/>
                  <w:vAlign w:val="center"/>
                </w:tcPr>
                <w:p>
                  <w:pPr>
                    <w:pStyle w:val="39"/>
                    <w:bidi w:val="0"/>
                    <w:rPr>
                      <w:lang w:val="en-US" w:eastAsia="zh-CN"/>
                    </w:rPr>
                  </w:pPr>
                  <w:r>
                    <w:rPr>
                      <w:rFonts w:hint="eastAsia"/>
                      <w:lang w:val="en-US" w:eastAsia="zh-CN"/>
                    </w:rPr>
                    <w:t>7</w:t>
                  </w:r>
                  <w:r>
                    <w:rPr>
                      <w:lang w:val="en-US" w:eastAsia="zh-CN"/>
                    </w:rPr>
                    <w:t>0</w:t>
                  </w:r>
                </w:p>
              </w:tc>
              <w:tc>
                <w:tcPr>
                  <w:tcW w:w="663" w:type="pct"/>
                  <w:vAlign w:val="center"/>
                </w:tcPr>
                <w:p>
                  <w:pPr>
                    <w:pStyle w:val="39"/>
                    <w:bidi w:val="0"/>
                    <w:rPr>
                      <w:lang w:val="en-US" w:eastAsia="zh-CN"/>
                    </w:rPr>
                  </w:pPr>
                  <w:r>
                    <w:rPr>
                      <w:lang w:val="en-US" w:eastAsia="zh-CN"/>
                    </w:rPr>
                    <w:t>87.14</w:t>
                  </w:r>
                </w:p>
              </w:tc>
              <w:tc>
                <w:tcPr>
                  <w:tcW w:w="682" w:type="pct"/>
                  <w:vAlign w:val="center"/>
                </w:tcPr>
                <w:p>
                  <w:pPr>
                    <w:pStyle w:val="39"/>
                    <w:bidi w:val="0"/>
                    <w:rPr>
                      <w:lang w:val="en-US" w:eastAsia="zh-CN"/>
                    </w:rPr>
                  </w:pPr>
                  <w:r>
                    <w:rPr>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lang w:val="en-US" w:eastAsia="zh-CN"/>
                    </w:rPr>
                  </w:pPr>
                  <w:r>
                    <w:rPr>
                      <w:lang w:val="en-US" w:eastAsia="zh-CN"/>
                    </w:rPr>
                    <w:t>PM</w:t>
                  </w:r>
                  <w:r>
                    <w:rPr>
                      <w:vertAlign w:val="subscript"/>
                      <w:lang w:val="en-US" w:eastAsia="zh-CN"/>
                    </w:rPr>
                    <w:t>2.5</w:t>
                  </w:r>
                </w:p>
              </w:tc>
              <w:tc>
                <w:tcPr>
                  <w:tcW w:w="1242" w:type="pct"/>
                  <w:vAlign w:val="center"/>
                </w:tcPr>
                <w:p>
                  <w:pPr>
                    <w:pStyle w:val="39"/>
                    <w:bidi w:val="0"/>
                    <w:rPr>
                      <w:lang w:val="en-US" w:eastAsia="zh-CN"/>
                    </w:rPr>
                  </w:pPr>
                  <w:r>
                    <w:rPr>
                      <w:lang w:val="en-US" w:eastAsia="zh-CN"/>
                    </w:rPr>
                    <w:t>年平均</w:t>
                  </w:r>
                  <w:r>
                    <w:rPr>
                      <w:rFonts w:hint="eastAsia"/>
                      <w:lang w:val="en-US" w:eastAsia="zh-CN"/>
                    </w:rPr>
                    <w:t>质量浓度</w:t>
                  </w:r>
                </w:p>
              </w:tc>
              <w:tc>
                <w:tcPr>
                  <w:tcW w:w="855" w:type="pct"/>
                  <w:vAlign w:val="center"/>
                </w:tcPr>
                <w:p>
                  <w:pPr>
                    <w:pStyle w:val="39"/>
                    <w:bidi w:val="0"/>
                    <w:rPr>
                      <w:lang w:val="en-US" w:eastAsia="zh-CN"/>
                    </w:rPr>
                  </w:pPr>
                  <w:r>
                    <w:rPr>
                      <w:lang w:val="en-US" w:eastAsia="zh-CN"/>
                    </w:rPr>
                    <w:t>27</w:t>
                  </w:r>
                </w:p>
              </w:tc>
              <w:tc>
                <w:tcPr>
                  <w:tcW w:w="910" w:type="pct"/>
                  <w:vAlign w:val="center"/>
                </w:tcPr>
                <w:p>
                  <w:pPr>
                    <w:pStyle w:val="39"/>
                    <w:bidi w:val="0"/>
                    <w:rPr>
                      <w:lang w:val="en-US" w:eastAsia="zh-CN"/>
                    </w:rPr>
                  </w:pPr>
                  <w:r>
                    <w:rPr>
                      <w:rFonts w:hint="eastAsia"/>
                      <w:lang w:val="en-US" w:eastAsia="zh-CN"/>
                    </w:rPr>
                    <w:t>3</w:t>
                  </w:r>
                  <w:r>
                    <w:rPr>
                      <w:lang w:val="en-US" w:eastAsia="zh-CN"/>
                    </w:rPr>
                    <w:t>5</w:t>
                  </w:r>
                </w:p>
              </w:tc>
              <w:tc>
                <w:tcPr>
                  <w:tcW w:w="663" w:type="pct"/>
                  <w:vAlign w:val="center"/>
                </w:tcPr>
                <w:p>
                  <w:pPr>
                    <w:pStyle w:val="39"/>
                    <w:bidi w:val="0"/>
                    <w:rPr>
                      <w:lang w:val="en-US" w:eastAsia="zh-CN"/>
                    </w:rPr>
                  </w:pPr>
                  <w:r>
                    <w:rPr>
                      <w:lang w:val="en-US" w:eastAsia="zh-CN"/>
                    </w:rPr>
                    <w:t>77.14</w:t>
                  </w:r>
                </w:p>
              </w:tc>
              <w:tc>
                <w:tcPr>
                  <w:tcW w:w="682" w:type="pct"/>
                  <w:vAlign w:val="center"/>
                </w:tcPr>
                <w:p>
                  <w:pPr>
                    <w:pStyle w:val="39"/>
                    <w:bidi w:val="0"/>
                    <w:rPr>
                      <w:lang w:val="en-US" w:eastAsia="zh-CN"/>
                    </w:rPr>
                  </w:pPr>
                  <w:r>
                    <w:rPr>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lang w:val="en-US" w:eastAsia="zh-CN"/>
                    </w:rPr>
                  </w:pPr>
                  <w:r>
                    <w:rPr>
                      <w:lang w:val="en-US" w:eastAsia="zh-CN"/>
                    </w:rPr>
                    <w:t>O</w:t>
                  </w:r>
                  <w:r>
                    <w:rPr>
                      <w:vertAlign w:val="subscript"/>
                      <w:lang w:val="en-US" w:eastAsia="zh-CN"/>
                    </w:rPr>
                    <w:t>3</w:t>
                  </w:r>
                </w:p>
              </w:tc>
              <w:tc>
                <w:tcPr>
                  <w:tcW w:w="1242" w:type="pct"/>
                  <w:vAlign w:val="center"/>
                </w:tcPr>
                <w:p>
                  <w:pPr>
                    <w:pStyle w:val="39"/>
                    <w:bidi w:val="0"/>
                    <w:rPr>
                      <w:lang w:val="en-US" w:eastAsia="zh-CN"/>
                    </w:rPr>
                  </w:pPr>
                  <w:r>
                    <w:rPr>
                      <w:rFonts w:hint="eastAsia"/>
                      <w:lang w:val="en-US" w:eastAsia="zh-CN"/>
                    </w:rPr>
                    <w:t>日最大8h平均第9</w:t>
                  </w:r>
                  <w:r>
                    <w:rPr>
                      <w:lang w:val="en-US" w:eastAsia="zh-CN"/>
                    </w:rPr>
                    <w:t>0</w:t>
                  </w:r>
                  <w:r>
                    <w:rPr>
                      <w:rFonts w:hint="eastAsia"/>
                      <w:lang w:val="en-US" w:eastAsia="zh-CN"/>
                    </w:rPr>
                    <w:t>百分位数质量浓度</w:t>
                  </w:r>
                </w:p>
              </w:tc>
              <w:tc>
                <w:tcPr>
                  <w:tcW w:w="855" w:type="pct"/>
                  <w:vAlign w:val="center"/>
                </w:tcPr>
                <w:p>
                  <w:pPr>
                    <w:pStyle w:val="39"/>
                    <w:bidi w:val="0"/>
                    <w:rPr>
                      <w:lang w:val="en-US" w:eastAsia="zh-CN"/>
                    </w:rPr>
                  </w:pPr>
                  <w:r>
                    <w:rPr>
                      <w:lang w:val="en-US" w:eastAsia="zh-CN"/>
                    </w:rPr>
                    <w:t>132</w:t>
                  </w:r>
                </w:p>
              </w:tc>
              <w:tc>
                <w:tcPr>
                  <w:tcW w:w="910" w:type="pct"/>
                  <w:vAlign w:val="center"/>
                </w:tcPr>
                <w:p>
                  <w:pPr>
                    <w:pStyle w:val="39"/>
                    <w:bidi w:val="0"/>
                    <w:rPr>
                      <w:lang w:val="en-US" w:eastAsia="zh-CN"/>
                    </w:rPr>
                  </w:pPr>
                  <w:r>
                    <w:rPr>
                      <w:lang w:val="en-US" w:eastAsia="zh-CN"/>
                    </w:rPr>
                    <w:t>160</w:t>
                  </w:r>
                </w:p>
              </w:tc>
              <w:tc>
                <w:tcPr>
                  <w:tcW w:w="663" w:type="pct"/>
                  <w:vAlign w:val="center"/>
                </w:tcPr>
                <w:p>
                  <w:pPr>
                    <w:pStyle w:val="39"/>
                    <w:bidi w:val="0"/>
                    <w:rPr>
                      <w:lang w:val="en-US" w:eastAsia="zh-CN"/>
                    </w:rPr>
                  </w:pPr>
                  <w:r>
                    <w:rPr>
                      <w:lang w:val="en-US" w:eastAsia="zh-CN"/>
                    </w:rPr>
                    <w:t>82.50</w:t>
                  </w:r>
                </w:p>
              </w:tc>
              <w:tc>
                <w:tcPr>
                  <w:tcW w:w="682" w:type="pct"/>
                  <w:vAlign w:val="center"/>
                </w:tcPr>
                <w:p>
                  <w:pPr>
                    <w:pStyle w:val="39"/>
                    <w:bidi w:val="0"/>
                    <w:rPr>
                      <w:lang w:val="en-US" w:eastAsia="zh-CN"/>
                    </w:rPr>
                  </w:pPr>
                  <w:r>
                    <w:rPr>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48" w:type="pct"/>
                  <w:vAlign w:val="center"/>
                </w:tcPr>
                <w:p>
                  <w:pPr>
                    <w:pStyle w:val="39"/>
                    <w:bidi w:val="0"/>
                    <w:rPr>
                      <w:lang w:val="en-US" w:eastAsia="zh-CN"/>
                    </w:rPr>
                  </w:pPr>
                  <w:r>
                    <w:rPr>
                      <w:lang w:val="en-US" w:eastAsia="zh-CN"/>
                    </w:rPr>
                    <w:t>CO</w:t>
                  </w:r>
                </w:p>
              </w:tc>
              <w:tc>
                <w:tcPr>
                  <w:tcW w:w="1242" w:type="pct"/>
                  <w:vAlign w:val="center"/>
                </w:tcPr>
                <w:p>
                  <w:pPr>
                    <w:pStyle w:val="39"/>
                    <w:bidi w:val="0"/>
                    <w:rPr>
                      <w:lang w:val="en-US" w:eastAsia="zh-CN"/>
                    </w:rPr>
                  </w:pPr>
                  <w:r>
                    <w:rPr>
                      <w:lang w:val="en-US" w:eastAsia="zh-CN"/>
                    </w:rPr>
                    <w:t>24</w:t>
                  </w:r>
                  <w:r>
                    <w:rPr>
                      <w:rFonts w:hint="eastAsia"/>
                      <w:lang w:val="en-US" w:eastAsia="zh-CN"/>
                    </w:rPr>
                    <w:t>h平均第9</w:t>
                  </w:r>
                  <w:r>
                    <w:rPr>
                      <w:lang w:val="en-US" w:eastAsia="zh-CN"/>
                    </w:rPr>
                    <w:t>5</w:t>
                  </w:r>
                  <w:r>
                    <w:rPr>
                      <w:rFonts w:hint="eastAsia"/>
                      <w:lang w:val="en-US" w:eastAsia="zh-CN"/>
                    </w:rPr>
                    <w:t>百分位数质量浓度</w:t>
                  </w:r>
                </w:p>
              </w:tc>
              <w:tc>
                <w:tcPr>
                  <w:tcW w:w="855" w:type="pct"/>
                  <w:vAlign w:val="center"/>
                </w:tcPr>
                <w:p>
                  <w:pPr>
                    <w:pStyle w:val="39"/>
                    <w:bidi w:val="0"/>
                    <w:rPr>
                      <w:lang w:val="en-US" w:eastAsia="zh-CN"/>
                    </w:rPr>
                  </w:pPr>
                  <w:r>
                    <w:rPr>
                      <w:lang w:val="en-US" w:eastAsia="zh-CN"/>
                    </w:rPr>
                    <w:t>1.8（mg/m</w:t>
                  </w:r>
                  <w:r>
                    <w:rPr>
                      <w:vertAlign w:val="superscript"/>
                      <w:lang w:val="en-US" w:eastAsia="zh-CN"/>
                    </w:rPr>
                    <w:t>3</w:t>
                  </w:r>
                  <w:r>
                    <w:rPr>
                      <w:lang w:val="en-US" w:eastAsia="zh-CN"/>
                    </w:rPr>
                    <w:t>）</w:t>
                  </w:r>
                </w:p>
              </w:tc>
              <w:tc>
                <w:tcPr>
                  <w:tcW w:w="910" w:type="pct"/>
                  <w:vAlign w:val="center"/>
                </w:tcPr>
                <w:p>
                  <w:pPr>
                    <w:pStyle w:val="39"/>
                    <w:bidi w:val="0"/>
                    <w:rPr>
                      <w:lang w:val="en-US" w:eastAsia="zh-CN"/>
                    </w:rPr>
                  </w:pPr>
                  <w:r>
                    <w:rPr>
                      <w:lang w:val="en-US" w:eastAsia="zh-CN"/>
                    </w:rPr>
                    <w:t>4（mg/m</w:t>
                  </w:r>
                  <w:r>
                    <w:rPr>
                      <w:vertAlign w:val="superscript"/>
                      <w:lang w:val="en-US" w:eastAsia="zh-CN"/>
                    </w:rPr>
                    <w:t>3</w:t>
                  </w:r>
                  <w:r>
                    <w:rPr>
                      <w:lang w:val="en-US" w:eastAsia="zh-CN"/>
                    </w:rPr>
                    <w:t>）</w:t>
                  </w:r>
                </w:p>
              </w:tc>
              <w:tc>
                <w:tcPr>
                  <w:tcW w:w="663" w:type="pct"/>
                  <w:vAlign w:val="center"/>
                </w:tcPr>
                <w:p>
                  <w:pPr>
                    <w:pStyle w:val="39"/>
                    <w:bidi w:val="0"/>
                    <w:rPr>
                      <w:lang w:val="en-US" w:eastAsia="zh-CN"/>
                    </w:rPr>
                  </w:pPr>
                  <w:r>
                    <w:rPr>
                      <w:lang w:val="en-US" w:eastAsia="zh-CN"/>
                    </w:rPr>
                    <w:t>45.00</w:t>
                  </w:r>
                </w:p>
              </w:tc>
              <w:tc>
                <w:tcPr>
                  <w:tcW w:w="682" w:type="pct"/>
                  <w:vAlign w:val="center"/>
                </w:tcPr>
                <w:p>
                  <w:pPr>
                    <w:pStyle w:val="39"/>
                    <w:bidi w:val="0"/>
                    <w:rPr>
                      <w:lang w:val="en-US" w:eastAsia="zh-CN"/>
                    </w:rPr>
                  </w:pPr>
                  <w:r>
                    <w:rPr>
                      <w:lang w:val="en-US" w:eastAsia="zh-CN"/>
                    </w:rPr>
                    <w:t>达标</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rPr>
                <w:bCs/>
                <w:color w:val="auto"/>
                <w:sz w:val="24"/>
              </w:rPr>
            </w:pPr>
            <w:r>
              <w:t>由统计结果可知，2021年</w:t>
            </w:r>
            <w:r>
              <w:rPr>
                <w:rFonts w:hint="eastAsia"/>
                <w:lang w:val="en-US" w:eastAsia="zh-CN"/>
              </w:rPr>
              <w:t>巴彦淖尔市五原县</w:t>
            </w:r>
            <w:r>
              <w:rPr>
                <w:rFonts w:hint="eastAsia"/>
              </w:rPr>
              <w:t>环境空气中</w:t>
            </w:r>
            <w:r>
              <w:t>SO</w:t>
            </w:r>
            <w:r>
              <w:rPr>
                <w:vertAlign w:val="subscript"/>
              </w:rPr>
              <w:t>2</w:t>
            </w:r>
            <w:r>
              <w:t>、NO</w:t>
            </w:r>
            <w:r>
              <w:rPr>
                <w:vertAlign w:val="subscript"/>
              </w:rPr>
              <w:t>2</w:t>
            </w:r>
            <w:r>
              <w:t>、PM</w:t>
            </w:r>
            <w:r>
              <w:rPr>
                <w:vertAlign w:val="subscript"/>
              </w:rPr>
              <w:t>10</w:t>
            </w:r>
            <w:r>
              <w:t>、PM</w:t>
            </w:r>
            <w:r>
              <w:rPr>
                <w:vertAlign w:val="subscript"/>
              </w:rPr>
              <w:t>2.5</w:t>
            </w:r>
            <w:r>
              <w:t>年均浓度分别为17μg/m</w:t>
            </w:r>
            <w:r>
              <w:rPr>
                <w:vertAlign w:val="superscript"/>
              </w:rPr>
              <w:t>3</w:t>
            </w:r>
            <w:r>
              <w:t>、21μg/m</w:t>
            </w:r>
            <w:r>
              <w:rPr>
                <w:vertAlign w:val="superscript"/>
              </w:rPr>
              <w:t>3</w:t>
            </w:r>
            <w:r>
              <w:t>、61μg/m</w:t>
            </w:r>
            <w:r>
              <w:rPr>
                <w:vertAlign w:val="superscript"/>
              </w:rPr>
              <w:t>3</w:t>
            </w:r>
            <w:r>
              <w:t>、27μg/m</w:t>
            </w:r>
            <w:r>
              <w:rPr>
                <w:vertAlign w:val="superscript"/>
              </w:rPr>
              <w:t>3</w:t>
            </w:r>
            <w:r>
              <w:rPr>
                <w:rFonts w:hint="eastAsia"/>
                <w:lang w:eastAsia="zh-CN"/>
              </w:rPr>
              <w:t>、</w:t>
            </w:r>
            <w:r>
              <w:t>CO的24小时平均第95百分位数为1.8mg/m</w:t>
            </w:r>
            <w:r>
              <w:rPr>
                <w:vertAlign w:val="superscript"/>
              </w:rPr>
              <w:t>3</w:t>
            </w:r>
            <w:r>
              <w:t>，O</w:t>
            </w:r>
            <w:r>
              <w:rPr>
                <w:vertAlign w:val="subscript"/>
              </w:rPr>
              <w:t>3</w:t>
            </w:r>
            <w:r>
              <w:t>日最大8小时平均第90百分位数为132μg/m</w:t>
            </w:r>
            <w:r>
              <w:rPr>
                <w:vertAlign w:val="superscript"/>
              </w:rPr>
              <w:t>3</w:t>
            </w:r>
            <w:r>
              <w:t>；各污染物平均浓度均满足《环境空气质量标准》（GB3095-2012）及2018年修改单中的二级标准。项目所在区域属于环境空气质量达标区域。</w:t>
            </w:r>
          </w:p>
          <w:p>
            <w:pPr>
              <w:tabs>
                <w:tab w:val="left" w:pos="3555"/>
              </w:tabs>
              <w:ind w:firstLine="482" w:firstLineChars="200"/>
              <w:rPr>
                <w:b/>
                <w:bCs/>
                <w:color w:val="auto"/>
                <w:sz w:val="24"/>
              </w:rPr>
            </w:pPr>
            <w:r>
              <w:rPr>
                <w:b/>
                <w:bCs/>
                <w:color w:val="auto"/>
                <w:sz w:val="24"/>
              </w:rPr>
              <w:t>（2）</w:t>
            </w:r>
            <w:r>
              <w:rPr>
                <w:rFonts w:hint="eastAsia"/>
                <w:b/>
                <w:bCs/>
                <w:color w:val="auto"/>
                <w:sz w:val="24"/>
              </w:rPr>
              <w:t>其他污染物环境质量现状评价</w:t>
            </w:r>
          </w:p>
          <w:p>
            <w:pPr>
              <w:adjustRightInd w:val="0"/>
              <w:snapToGrid w:val="0"/>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本项目其他污染物为总悬浮颗粒物，为掌握评价区环境空气质量现状，并为影响评价提供基础资料和数据，本次评价委</w:t>
            </w:r>
            <w:r>
              <w:rPr>
                <w:rFonts w:hint="eastAsia" w:ascii="Times New Roman" w:hAnsi="Times New Roman" w:eastAsia="宋体" w:cs="Times New Roman"/>
                <w:color w:val="auto"/>
                <w:sz w:val="24"/>
                <w:highlight w:val="none"/>
              </w:rPr>
              <w:t>托内蒙古华智鼎环保科技有限公司对其他污染物TSP进行补充监</w:t>
            </w:r>
            <w:r>
              <w:rPr>
                <w:rFonts w:hint="eastAsia" w:ascii="Times New Roman" w:hAnsi="Times New Roman" w:eastAsia="宋体" w:cs="Times New Roman"/>
                <w:color w:val="auto"/>
                <w:sz w:val="24"/>
              </w:rPr>
              <w:t>测。</w:t>
            </w:r>
          </w:p>
          <w:p>
            <w:pPr>
              <w:adjustRightInd w:val="0"/>
              <w:snapToGrid w:val="0"/>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监测点位</w:t>
            </w:r>
          </w:p>
          <w:p>
            <w:pPr>
              <w:adjustRightInd w:val="0"/>
              <w:snapToGrid w:val="0"/>
              <w:ind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rPr>
              <w:t>项目区主导风向下风向</w:t>
            </w:r>
            <w:r>
              <w:rPr>
                <w:rFonts w:hint="eastAsia"/>
                <w:color w:val="FF0000"/>
                <w:sz w:val="24"/>
                <w:szCs w:val="24"/>
                <w:highlight w:val="none"/>
                <w:lang w:val="en-US" w:eastAsia="zh-CN"/>
              </w:rPr>
              <w:t>18m处</w:t>
            </w:r>
          </w:p>
          <w:p>
            <w:pPr>
              <w:adjustRightInd w:val="0"/>
              <w:snapToGrid w:val="0"/>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监测项目：</w:t>
            </w:r>
          </w:p>
          <w:p>
            <w:pPr>
              <w:adjustRightInd w:val="0"/>
              <w:snapToGrid w:val="0"/>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其他污染物：TSP。</w:t>
            </w:r>
          </w:p>
          <w:p>
            <w:pPr>
              <w:adjustRightInd w:val="0"/>
              <w:snapToGrid w:val="0"/>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采样同时记录风向、风速、气温、气压等气候因素，同时标定采样点经纬度坐标。</w:t>
            </w:r>
          </w:p>
          <w:p>
            <w:pPr>
              <w:adjustRightInd w:val="0"/>
              <w:snapToGrid w:val="0"/>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监测时间和频次</w:t>
            </w:r>
          </w:p>
          <w:p>
            <w:pPr>
              <w:adjustRightInd w:val="0"/>
              <w:snapToGrid w:val="0"/>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202</w:t>
            </w:r>
            <w:r>
              <w:rPr>
                <w:rFonts w:hint="eastAsia" w:cs="Times New Roman"/>
                <w:color w:val="auto"/>
                <w:sz w:val="24"/>
                <w:lang w:val="en-US" w:eastAsia="zh-CN"/>
              </w:rPr>
              <w:t>2</w:t>
            </w:r>
            <w:r>
              <w:rPr>
                <w:rFonts w:hint="default" w:ascii="Times New Roman" w:hAnsi="Times New Roman" w:eastAsia="宋体" w:cs="Times New Roman"/>
                <w:color w:val="auto"/>
                <w:sz w:val="24"/>
              </w:rPr>
              <w:t>年</w:t>
            </w:r>
            <w:r>
              <w:rPr>
                <w:rFonts w:hint="eastAsia" w:cs="Times New Roman"/>
                <w:color w:val="auto"/>
                <w:sz w:val="24"/>
                <w:lang w:val="en-US" w:eastAsia="zh-CN"/>
              </w:rPr>
              <w:t>9</w:t>
            </w:r>
            <w:r>
              <w:rPr>
                <w:rFonts w:hint="default" w:ascii="Times New Roman" w:hAnsi="Times New Roman" w:eastAsia="宋体" w:cs="Times New Roman"/>
                <w:color w:val="auto"/>
                <w:sz w:val="24"/>
              </w:rPr>
              <w:t>月</w:t>
            </w:r>
            <w:r>
              <w:rPr>
                <w:rFonts w:hint="eastAsia" w:cs="Times New Roman"/>
                <w:color w:val="auto"/>
                <w:sz w:val="24"/>
                <w:lang w:val="en-US" w:eastAsia="zh-CN"/>
              </w:rPr>
              <w:t>15</w:t>
            </w:r>
            <w:r>
              <w:rPr>
                <w:rFonts w:hint="default" w:ascii="Times New Roman" w:hAnsi="Times New Roman" w:eastAsia="宋体" w:cs="Times New Roman"/>
                <w:color w:val="auto"/>
                <w:sz w:val="24"/>
              </w:rPr>
              <w:t>日~202</w:t>
            </w:r>
            <w:r>
              <w:rPr>
                <w:rFonts w:hint="eastAsia" w:cs="Times New Roman"/>
                <w:color w:val="auto"/>
                <w:sz w:val="24"/>
                <w:lang w:val="en-US" w:eastAsia="zh-CN"/>
              </w:rPr>
              <w:t>2</w:t>
            </w:r>
            <w:r>
              <w:rPr>
                <w:rFonts w:hint="default" w:ascii="Times New Roman" w:hAnsi="Times New Roman" w:eastAsia="宋体" w:cs="Times New Roman"/>
                <w:color w:val="auto"/>
                <w:sz w:val="24"/>
              </w:rPr>
              <w:t>年</w:t>
            </w:r>
            <w:r>
              <w:rPr>
                <w:rFonts w:hint="eastAsia" w:cs="Times New Roman"/>
                <w:color w:val="auto"/>
                <w:sz w:val="24"/>
                <w:lang w:val="en-US" w:eastAsia="zh-CN"/>
              </w:rPr>
              <w:t>9</w:t>
            </w:r>
            <w:r>
              <w:rPr>
                <w:rFonts w:hint="default" w:ascii="Times New Roman" w:hAnsi="Times New Roman" w:eastAsia="宋体" w:cs="Times New Roman"/>
                <w:color w:val="auto"/>
                <w:sz w:val="24"/>
              </w:rPr>
              <w:t>月1</w:t>
            </w:r>
            <w:r>
              <w:rPr>
                <w:rFonts w:hint="eastAsia" w:cs="Times New Roman"/>
                <w:color w:val="auto"/>
                <w:sz w:val="24"/>
                <w:lang w:val="en-US" w:eastAsia="zh-CN"/>
              </w:rPr>
              <w:t>7</w:t>
            </w:r>
            <w:r>
              <w:rPr>
                <w:rFonts w:hint="default" w:ascii="Times New Roman" w:hAnsi="Times New Roman" w:eastAsia="宋体" w:cs="Times New Roman"/>
                <w:color w:val="auto"/>
                <w:sz w:val="24"/>
              </w:rPr>
              <w:t>日连续监测3天，监测24小时平均值。</w:t>
            </w:r>
          </w:p>
          <w:p>
            <w:pPr>
              <w:adjustRightInd w:val="0"/>
              <w:snapToGrid w:val="0"/>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4）分析方法</w:t>
            </w:r>
          </w:p>
          <w:p>
            <w:pPr>
              <w:pStyle w:val="38"/>
              <w:bidi w:val="0"/>
              <w:rPr>
                <w:rFonts w:hint="eastAsia" w:ascii="Times New Roman" w:hAnsi="Times New Roman" w:eastAsia="宋体" w:cs="Times New Roman"/>
                <w:color w:val="auto"/>
                <w:sz w:val="24"/>
                <w:szCs w:val="24"/>
              </w:rPr>
            </w:pPr>
            <w:r>
              <w:rPr>
                <w:rFonts w:hint="default"/>
                <w:sz w:val="24"/>
                <w:szCs w:val="24"/>
              </w:rPr>
              <w:t>表</w:t>
            </w:r>
            <w:r>
              <w:rPr>
                <w:rFonts w:hint="default"/>
                <w:sz w:val="24"/>
                <w:szCs w:val="24"/>
                <w:lang w:val="en-US" w:eastAsia="zh-CN"/>
              </w:rPr>
              <w:t>3-</w:t>
            </w:r>
            <w:r>
              <w:rPr>
                <w:rFonts w:hint="eastAsia"/>
                <w:sz w:val="24"/>
                <w:szCs w:val="24"/>
                <w:lang w:val="en-US" w:eastAsia="zh-CN"/>
              </w:rPr>
              <w:t>2</w:t>
            </w:r>
            <w:r>
              <w:rPr>
                <w:rFonts w:hint="default"/>
                <w:sz w:val="24"/>
                <w:szCs w:val="24"/>
              </w:rPr>
              <w:t xml:space="preserve"> 环境空气分析方法</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2"/>
              <w:gridCol w:w="894"/>
              <w:gridCol w:w="2649"/>
              <w:gridCol w:w="856"/>
              <w:gridCol w:w="1669"/>
              <w:gridCol w:w="14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76" w:type="dxa"/>
                  <w:noWrap w:val="0"/>
                  <w:vAlign w:val="center"/>
                </w:tcPr>
                <w:p>
                  <w:pPr>
                    <w:pStyle w:val="41"/>
                    <w:rPr>
                      <w:rFonts w:hint="eastAsia" w:ascii="Times New Roman" w:hAnsi="Times New Roman" w:eastAsia="宋体" w:cs="Times New Roman"/>
                      <w:color w:val="auto"/>
                      <w:sz w:val="21"/>
                      <w:szCs w:val="21"/>
                      <w:highlight w:val="none"/>
                      <w:lang w:eastAsia="zh-CN"/>
                    </w:rPr>
                  </w:pPr>
                  <w:r>
                    <w:rPr>
                      <w:rFonts w:hint="eastAsia" w:cs="Times New Roman"/>
                      <w:b/>
                      <w:bCs/>
                      <w:color w:val="auto"/>
                      <w:sz w:val="21"/>
                      <w:szCs w:val="21"/>
                      <w:highlight w:val="none"/>
                      <w:lang w:eastAsia="zh-CN"/>
                    </w:rPr>
                    <w:t>序号</w:t>
                  </w:r>
                </w:p>
              </w:tc>
              <w:tc>
                <w:tcPr>
                  <w:tcW w:w="1094" w:type="dxa"/>
                  <w:noWrap w:val="0"/>
                  <w:vAlign w:val="center"/>
                </w:tcPr>
                <w:p>
                  <w:pPr>
                    <w:pStyle w:val="41"/>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检测项目</w:t>
                  </w:r>
                </w:p>
              </w:tc>
              <w:tc>
                <w:tcPr>
                  <w:tcW w:w="3369" w:type="dxa"/>
                  <w:noWrap w:val="0"/>
                  <w:vAlign w:val="center"/>
                </w:tcPr>
                <w:p>
                  <w:pPr>
                    <w:pStyle w:val="41"/>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
                      <w:bCs/>
                      <w:color w:val="auto"/>
                      <w:sz w:val="21"/>
                      <w:szCs w:val="21"/>
                      <w:highlight w:val="none"/>
                    </w:rPr>
                    <w:t>分析方法及来源</w:t>
                  </w:r>
                </w:p>
              </w:tc>
              <w:tc>
                <w:tcPr>
                  <w:tcW w:w="1044" w:type="dxa"/>
                  <w:noWrap w:val="0"/>
                  <w:vAlign w:val="center"/>
                </w:tcPr>
                <w:p>
                  <w:pPr>
                    <w:pStyle w:val="41"/>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检出限</w:t>
                  </w:r>
                </w:p>
              </w:tc>
              <w:tc>
                <w:tcPr>
                  <w:tcW w:w="2098" w:type="dxa"/>
                  <w:noWrap w:val="0"/>
                  <w:vAlign w:val="center"/>
                </w:tcPr>
                <w:p>
                  <w:pPr>
                    <w:pStyle w:val="41"/>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仪器设备名称/型号</w:t>
                  </w:r>
                </w:p>
              </w:tc>
              <w:tc>
                <w:tcPr>
                  <w:tcW w:w="1762" w:type="dxa"/>
                  <w:noWrap w:val="0"/>
                  <w:vAlign w:val="center"/>
                </w:tcPr>
                <w:p>
                  <w:pPr>
                    <w:pStyle w:val="41"/>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仪器管理编号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6" w:type="dxa"/>
                  <w:vMerge w:val="restart"/>
                  <w:noWrap w:val="0"/>
                  <w:vAlign w:val="center"/>
                </w:tcPr>
                <w:p>
                  <w:pPr>
                    <w:pStyle w:val="41"/>
                    <w:bidi w:val="0"/>
                    <w:ind w:firstLine="0" w:firstLineChars="0"/>
                    <w:rPr>
                      <w:rFonts w:hint="default" w:ascii="Times New Roman" w:hAnsi="Times New Roman" w:cs="Times New Roman"/>
                      <w:color w:val="auto"/>
                      <w:szCs w:val="22"/>
                      <w:highlight w:val="none"/>
                      <w:lang w:val="en-US" w:eastAsia="zh-CN"/>
                    </w:rPr>
                  </w:pPr>
                  <w:r>
                    <w:rPr>
                      <w:rFonts w:hint="eastAsia" w:cs="Times New Roman"/>
                      <w:color w:val="auto"/>
                      <w:szCs w:val="22"/>
                      <w:highlight w:val="none"/>
                      <w:lang w:val="en-US" w:eastAsia="zh-CN"/>
                    </w:rPr>
                    <w:t>1</w:t>
                  </w:r>
                </w:p>
              </w:tc>
              <w:tc>
                <w:tcPr>
                  <w:tcW w:w="1094" w:type="dxa"/>
                  <w:vMerge w:val="restart"/>
                  <w:noWrap w:val="0"/>
                  <w:vAlign w:val="center"/>
                </w:tcPr>
                <w:p>
                  <w:pPr>
                    <w:pStyle w:val="41"/>
                    <w:ind w:firstLine="0" w:firstLineChars="0"/>
                    <w:rPr>
                      <w:rFonts w:hint="eastAsia" w:cs="Times New Roman"/>
                      <w:color w:val="auto"/>
                      <w:szCs w:val="22"/>
                      <w:highlight w:val="none"/>
                      <w:lang w:val="en-US" w:eastAsia="zh-CN"/>
                    </w:rPr>
                  </w:pPr>
                  <w:r>
                    <w:rPr>
                      <w:rFonts w:hint="eastAsia" w:cs="Times New Roman"/>
                      <w:color w:val="auto"/>
                      <w:szCs w:val="22"/>
                      <w:highlight w:val="none"/>
                      <w:lang w:val="en-US" w:eastAsia="zh-CN"/>
                    </w:rPr>
                    <w:t>总悬浮</w:t>
                  </w:r>
                </w:p>
                <w:p>
                  <w:pPr>
                    <w:pStyle w:val="41"/>
                    <w:ind w:firstLine="0" w:firstLineChars="0"/>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szCs w:val="22"/>
                      <w:highlight w:val="none"/>
                      <w:lang w:val="en-US" w:eastAsia="zh-CN"/>
                    </w:rPr>
                    <w:t>颗粒物</w:t>
                  </w:r>
                </w:p>
              </w:tc>
              <w:tc>
                <w:tcPr>
                  <w:tcW w:w="3369" w:type="dxa"/>
                  <w:vMerge w:val="restart"/>
                  <w:noWrap w:val="0"/>
                  <w:vAlign w:val="center"/>
                </w:tcPr>
                <w:p>
                  <w:pPr>
                    <w:pStyle w:val="41"/>
                    <w:ind w:firstLine="0" w:firstLineChars="0"/>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0"/>
                      <w:szCs w:val="21"/>
                      <w:highlight w:val="none"/>
                      <w:lang w:bidi="ar"/>
                    </w:rPr>
                    <w:t>《环境空气 总悬浮颗粒物的测定 重量法》（GB/T 15432-1995）</w:t>
                  </w:r>
                </w:p>
              </w:tc>
              <w:tc>
                <w:tcPr>
                  <w:tcW w:w="1044" w:type="dxa"/>
                  <w:vMerge w:val="restart"/>
                  <w:noWrap w:val="0"/>
                  <w:vAlign w:val="center"/>
                </w:tcPr>
                <w:p>
                  <w:pPr>
                    <w:pStyle w:val="4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0.001</w:t>
                  </w:r>
                </w:p>
                <w:p>
                  <w:pPr>
                    <w:pStyle w:val="41"/>
                    <w:ind w:firstLine="0" w:firstLineChars="0"/>
                    <w:rPr>
                      <w:rFonts w:hint="default" w:ascii="Times New Roman" w:hAnsi="Times New Roman" w:cs="Times New Roman"/>
                      <w:color w:val="auto"/>
                      <w:szCs w:val="22"/>
                      <w:highlight w:val="none"/>
                      <w:lang w:val="en-US" w:eastAsia="zh-CN"/>
                    </w:rPr>
                  </w:pP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p>
              </w:tc>
              <w:tc>
                <w:tcPr>
                  <w:tcW w:w="2098"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电子天平（</w:t>
                  </w:r>
                  <w:r>
                    <w:rPr>
                      <w:rFonts w:hint="eastAsia" w:cs="Times New Roman"/>
                      <w:color w:val="auto"/>
                      <w:highlight w:val="none"/>
                      <w:lang w:val="en-US" w:eastAsia="zh-CN"/>
                    </w:rPr>
                    <w:t>十</w:t>
                  </w:r>
                  <w:r>
                    <w:rPr>
                      <w:rFonts w:hint="default" w:ascii="Times New Roman" w:hAnsi="Times New Roman" w:eastAsia="宋体" w:cs="Times New Roman"/>
                      <w:color w:val="auto"/>
                      <w:highlight w:val="none"/>
                    </w:rPr>
                    <w:t>万分之一）/AUW120D</w:t>
                  </w:r>
                </w:p>
              </w:tc>
              <w:tc>
                <w:tcPr>
                  <w:tcW w:w="1762"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HZD-013-A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6" w:type="dxa"/>
                  <w:vMerge w:val="continue"/>
                  <w:noWrap w:val="0"/>
                  <w:vAlign w:val="center"/>
                </w:tcPr>
                <w:p>
                  <w:pPr>
                    <w:pStyle w:val="41"/>
                    <w:bidi w:val="0"/>
                    <w:ind w:firstLine="0" w:firstLineChars="0"/>
                    <w:rPr>
                      <w:rFonts w:hint="default" w:ascii="Times New Roman" w:hAnsi="Times New Roman" w:cs="Times New Roman"/>
                      <w:color w:val="auto"/>
                      <w:highlight w:val="none"/>
                      <w:lang w:val="en-US" w:eastAsia="zh-CN"/>
                    </w:rPr>
                  </w:pPr>
                </w:p>
              </w:tc>
              <w:tc>
                <w:tcPr>
                  <w:tcW w:w="1094" w:type="dxa"/>
                  <w:vMerge w:val="continue"/>
                  <w:noWrap w:val="0"/>
                  <w:vAlign w:val="center"/>
                </w:tcPr>
                <w:p>
                  <w:pPr>
                    <w:pStyle w:val="41"/>
                    <w:ind w:firstLine="0" w:firstLineChars="0"/>
                    <w:rPr>
                      <w:rFonts w:hint="default" w:ascii="Times New Roman" w:hAnsi="Times New Roman" w:cs="Times New Roman"/>
                      <w:color w:val="auto"/>
                      <w:highlight w:val="none"/>
                    </w:rPr>
                  </w:pPr>
                </w:p>
              </w:tc>
              <w:tc>
                <w:tcPr>
                  <w:tcW w:w="3369" w:type="dxa"/>
                  <w:vMerge w:val="continue"/>
                  <w:noWrap w:val="0"/>
                  <w:vAlign w:val="center"/>
                </w:tcPr>
                <w:p>
                  <w:pPr>
                    <w:pStyle w:val="41"/>
                    <w:ind w:firstLine="0" w:firstLineChars="0"/>
                    <w:rPr>
                      <w:rFonts w:hint="default" w:ascii="Times New Roman" w:hAnsi="Times New Roman" w:cs="Times New Roman"/>
                      <w:color w:val="auto"/>
                      <w:highlight w:val="none"/>
                    </w:rPr>
                  </w:pPr>
                </w:p>
              </w:tc>
              <w:tc>
                <w:tcPr>
                  <w:tcW w:w="1044" w:type="dxa"/>
                  <w:vMerge w:val="continue"/>
                  <w:noWrap w:val="0"/>
                  <w:vAlign w:val="center"/>
                </w:tcPr>
                <w:p>
                  <w:pPr>
                    <w:pStyle w:val="41"/>
                    <w:ind w:firstLine="0" w:firstLineChars="0"/>
                    <w:rPr>
                      <w:rFonts w:hint="default" w:ascii="Times New Roman" w:hAnsi="Times New Roman" w:cs="Times New Roman"/>
                      <w:color w:val="auto"/>
                      <w:highlight w:val="none"/>
                      <w:lang w:val="en-US" w:eastAsia="zh-CN"/>
                    </w:rPr>
                  </w:pPr>
                </w:p>
              </w:tc>
              <w:tc>
                <w:tcPr>
                  <w:tcW w:w="2098"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综合大气采样器</w:t>
                  </w:r>
                  <w:r>
                    <w:rPr>
                      <w:rFonts w:hint="eastAsia" w:eastAsia="宋体" w:cs="Times New Roman"/>
                      <w:color w:val="auto"/>
                      <w:highlight w:val="none"/>
                      <w:lang w:val="en-US" w:eastAsia="zh-CN"/>
                    </w:rPr>
                    <w:t>/XA-100</w:t>
                  </w:r>
                </w:p>
              </w:tc>
              <w:tc>
                <w:tcPr>
                  <w:tcW w:w="1762"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highlight w:val="none"/>
                      <w:lang w:val="en-US" w:eastAsia="zh-CN"/>
                    </w:rPr>
                    <w:t>HZD-056-</w:t>
                  </w:r>
                  <w:r>
                    <w:rPr>
                      <w:rFonts w:hint="eastAsia" w:cs="Times New Roman"/>
                      <w:color w:val="auto"/>
                      <w:highlight w:val="none"/>
                      <w:lang w:val="en-US" w:eastAsia="zh-CN"/>
                    </w:rPr>
                    <w:t>G</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0" w:firstLineChars="200"/>
              <w:textAlignment w:val="auto"/>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5）气象条件</w:t>
            </w:r>
          </w:p>
          <w:p>
            <w:pPr>
              <w:pStyle w:val="38"/>
              <w:bidi w:val="0"/>
              <w:rPr>
                <w:rFonts w:hint="eastAsia" w:ascii="Times New Roman" w:hAnsi="Times New Roman" w:cs="Times New Roman"/>
                <w:sz w:val="24"/>
                <w:szCs w:val="24"/>
              </w:rPr>
            </w:pPr>
            <w:r>
              <w:rPr>
                <w:rFonts w:hint="default"/>
                <w:sz w:val="24"/>
                <w:szCs w:val="24"/>
              </w:rPr>
              <w:t>表</w:t>
            </w:r>
            <w:r>
              <w:rPr>
                <w:rFonts w:hint="default"/>
                <w:sz w:val="24"/>
                <w:szCs w:val="24"/>
                <w:lang w:val="en-US" w:eastAsia="zh-CN"/>
              </w:rPr>
              <w:t>3-</w:t>
            </w:r>
            <w:r>
              <w:rPr>
                <w:rFonts w:hint="eastAsia"/>
                <w:sz w:val="24"/>
                <w:szCs w:val="24"/>
                <w:lang w:val="en-US" w:eastAsia="zh-CN"/>
              </w:rPr>
              <w:t>3</w:t>
            </w:r>
            <w:r>
              <w:rPr>
                <w:rFonts w:hint="default"/>
                <w:sz w:val="24"/>
                <w:szCs w:val="24"/>
              </w:rPr>
              <w:t xml:space="preserve"> </w:t>
            </w:r>
            <w:r>
              <w:rPr>
                <w:rFonts w:hint="eastAsia" w:ascii="Times New Roman" w:hAnsi="Times New Roman" w:cs="Times New Roman"/>
                <w:sz w:val="24"/>
                <w:szCs w:val="24"/>
                <w:lang w:val="en-US" w:eastAsia="zh-CN"/>
              </w:rPr>
              <w:t>气象参数一览表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1354"/>
              <w:gridCol w:w="1159"/>
              <w:gridCol w:w="1194"/>
              <w:gridCol w:w="1148"/>
              <w:gridCol w:w="948"/>
              <w:gridCol w:w="1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tblHeader/>
                <w:jc w:val="center"/>
              </w:trPr>
              <w:tc>
                <w:tcPr>
                  <w:tcW w:w="1223" w:type="dxa"/>
                  <w:noWrap w:val="0"/>
                  <w:vAlign w:val="center"/>
                </w:tcPr>
                <w:p>
                  <w:pPr>
                    <w:pStyle w:val="41"/>
                    <w:jc w:val="center"/>
                    <w:rPr>
                      <w:rFonts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采样日期</w:t>
                  </w:r>
                </w:p>
              </w:tc>
              <w:tc>
                <w:tcPr>
                  <w:tcW w:w="1693" w:type="dxa"/>
                  <w:noWrap w:val="0"/>
                  <w:vAlign w:val="center"/>
                </w:tcPr>
                <w:p>
                  <w:pPr>
                    <w:pStyle w:val="41"/>
                    <w:jc w:val="center"/>
                    <w:rPr>
                      <w:rFonts w:hint="eastAsia"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采样时间</w:t>
                  </w:r>
                </w:p>
              </w:tc>
              <w:tc>
                <w:tcPr>
                  <w:tcW w:w="1440" w:type="dxa"/>
                  <w:noWrap w:val="0"/>
                  <w:vAlign w:val="center"/>
                </w:tcPr>
                <w:p>
                  <w:pPr>
                    <w:pStyle w:val="41"/>
                    <w:jc w:val="center"/>
                    <w:rPr>
                      <w:rFonts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平均气温(</w:t>
                  </w:r>
                  <w:r>
                    <w:rPr>
                      <w:rFonts w:hint="default" w:ascii="Times New Roman" w:hAnsi="Times New Roman" w:eastAsia="宋体" w:cs="Times New Roman"/>
                      <w:b/>
                      <w:bCs/>
                      <w:color w:val="auto"/>
                      <w:sz w:val="21"/>
                      <w:szCs w:val="21"/>
                      <w:highlight w:val="none"/>
                    </w:rPr>
                    <w:t>℃</w:t>
                  </w:r>
                  <w:r>
                    <w:rPr>
                      <w:rFonts w:hint="eastAsia" w:ascii="Times New Roman" w:hAnsi="Times New Roman" w:eastAsia="宋体"/>
                      <w:b/>
                      <w:bCs/>
                      <w:color w:val="auto"/>
                      <w:sz w:val="21"/>
                      <w:szCs w:val="21"/>
                      <w:highlight w:val="none"/>
                    </w:rPr>
                    <w:t>)</w:t>
                  </w:r>
                </w:p>
              </w:tc>
              <w:tc>
                <w:tcPr>
                  <w:tcW w:w="1485" w:type="dxa"/>
                  <w:noWrap w:val="0"/>
                  <w:vAlign w:val="center"/>
                </w:tcPr>
                <w:p>
                  <w:pPr>
                    <w:pStyle w:val="41"/>
                    <w:jc w:val="center"/>
                    <w:rPr>
                      <w:rFonts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大气压（</w:t>
                  </w:r>
                  <w:r>
                    <w:rPr>
                      <w:rFonts w:hint="default" w:ascii="Times New Roman" w:hAnsi="Times New Roman" w:eastAsia="宋体" w:cs="Times New Roman"/>
                      <w:b/>
                      <w:bCs/>
                      <w:color w:val="auto"/>
                      <w:sz w:val="21"/>
                      <w:szCs w:val="21"/>
                      <w:highlight w:val="none"/>
                      <w:lang w:val="en-US" w:eastAsia="zh-CN"/>
                    </w:rPr>
                    <w:t>kPa</w:t>
                  </w:r>
                  <w:r>
                    <w:rPr>
                      <w:rFonts w:hint="eastAsia" w:ascii="Times New Roman" w:hAnsi="Times New Roman" w:eastAsia="宋体"/>
                      <w:b/>
                      <w:bCs/>
                      <w:color w:val="auto"/>
                      <w:sz w:val="21"/>
                      <w:szCs w:val="21"/>
                      <w:highlight w:val="none"/>
                    </w:rPr>
                    <w:t>）</w:t>
                  </w:r>
                </w:p>
              </w:tc>
              <w:tc>
                <w:tcPr>
                  <w:tcW w:w="1425" w:type="dxa"/>
                  <w:noWrap w:val="0"/>
                  <w:vAlign w:val="center"/>
                </w:tcPr>
                <w:p>
                  <w:pPr>
                    <w:pStyle w:val="41"/>
                    <w:jc w:val="center"/>
                    <w:rPr>
                      <w:rFonts w:hint="eastAsia" w:ascii="Times New Roman" w:hAnsi="Times New Roman" w:eastAsia="宋体"/>
                      <w:b/>
                      <w:bCs/>
                      <w:color w:val="auto"/>
                      <w:sz w:val="21"/>
                      <w:szCs w:val="21"/>
                      <w:highlight w:val="none"/>
                      <w:lang w:eastAsia="zh-CN"/>
                    </w:rPr>
                  </w:pPr>
                  <w:r>
                    <w:rPr>
                      <w:rFonts w:hint="eastAsia" w:ascii="Times New Roman" w:hAnsi="Times New Roman" w:eastAsia="宋体"/>
                      <w:b/>
                      <w:bCs/>
                      <w:color w:val="auto"/>
                      <w:sz w:val="21"/>
                      <w:szCs w:val="21"/>
                      <w:highlight w:val="none"/>
                    </w:rPr>
                    <w:t>风向</w:t>
                  </w:r>
                  <w:r>
                    <w:rPr>
                      <w:rFonts w:hint="eastAsia" w:ascii="Times New Roman" w:hAnsi="Times New Roman" w:eastAsia="宋体"/>
                      <w:b/>
                      <w:bCs/>
                      <w:color w:val="auto"/>
                      <w:sz w:val="21"/>
                      <w:szCs w:val="21"/>
                      <w:highlight w:val="none"/>
                      <w:lang w:eastAsia="zh-CN"/>
                    </w:rPr>
                    <w:t>（度）</w:t>
                  </w:r>
                </w:p>
              </w:tc>
              <w:tc>
                <w:tcPr>
                  <w:tcW w:w="1165" w:type="dxa"/>
                  <w:noWrap w:val="0"/>
                  <w:vAlign w:val="center"/>
                </w:tcPr>
                <w:p>
                  <w:pPr>
                    <w:pStyle w:val="41"/>
                    <w:jc w:val="center"/>
                    <w:rPr>
                      <w:rFonts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风速(m/s)</w:t>
                  </w:r>
                </w:p>
              </w:tc>
              <w:tc>
                <w:tcPr>
                  <w:tcW w:w="1563" w:type="dxa"/>
                  <w:noWrap w:val="0"/>
                  <w:vAlign w:val="center"/>
                </w:tcPr>
                <w:p>
                  <w:pPr>
                    <w:pStyle w:val="41"/>
                    <w:jc w:val="center"/>
                    <w:rPr>
                      <w:rFonts w:hint="eastAsia"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天气状况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tblHeader/>
                <w:jc w:val="center"/>
              </w:trPr>
              <w:tc>
                <w:tcPr>
                  <w:tcW w:w="1223" w:type="dxa"/>
                  <w:noWrap w:val="0"/>
                  <w:vAlign w:val="center"/>
                </w:tcPr>
                <w:p>
                  <w:pPr>
                    <w:pStyle w:val="41"/>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2022-0</w:t>
                  </w:r>
                  <w:r>
                    <w:rPr>
                      <w:rFonts w:hint="eastAsia"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15</w:t>
                  </w:r>
                </w:p>
              </w:tc>
              <w:tc>
                <w:tcPr>
                  <w:tcW w:w="1693" w:type="dxa"/>
                  <w:noWrap w:val="0"/>
                  <w:vAlign w:val="center"/>
                </w:tcPr>
                <w:p>
                  <w:pPr>
                    <w:pStyle w:val="41"/>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 w:val="21"/>
                      <w:szCs w:val="21"/>
                      <w:highlight w:val="none"/>
                    </w:rPr>
                    <w:t>0</w:t>
                  </w:r>
                  <w:r>
                    <w:rPr>
                      <w:rFonts w:hint="eastAsia"/>
                      <w:color w:val="auto"/>
                      <w:sz w:val="21"/>
                      <w:szCs w:val="21"/>
                      <w:highlight w:val="none"/>
                      <w:lang w:val="en-US" w:eastAsia="zh-CN"/>
                    </w:rPr>
                    <w:t>8</w:t>
                  </w:r>
                  <w:r>
                    <w:rPr>
                      <w:rFonts w:hint="eastAsia" w:ascii="Times New Roman" w:hAnsi="Times New Roman" w:eastAsia="宋体"/>
                      <w:color w:val="auto"/>
                      <w:sz w:val="21"/>
                      <w:szCs w:val="21"/>
                      <w:highlight w:val="none"/>
                    </w:rPr>
                    <w:t>:0</w:t>
                  </w:r>
                  <w:r>
                    <w:rPr>
                      <w:rFonts w:hint="eastAsia" w:ascii="Times New Roman" w:hAnsi="Times New Roman" w:eastAsia="宋体"/>
                      <w:color w:val="auto"/>
                      <w:sz w:val="21"/>
                      <w:szCs w:val="21"/>
                      <w:highlight w:val="none"/>
                      <w:lang w:val="en-US" w:eastAsia="zh-CN"/>
                    </w:rPr>
                    <w:t>5</w:t>
                  </w:r>
                  <w:r>
                    <w:rPr>
                      <w:rFonts w:hint="eastAsia" w:ascii="Times New Roman" w:hAnsi="Times New Roman" w:eastAsia="宋体"/>
                      <w:color w:val="auto"/>
                      <w:sz w:val="21"/>
                      <w:szCs w:val="21"/>
                      <w:highlight w:val="none"/>
                    </w:rPr>
                    <w:t>-</w:t>
                  </w:r>
                  <w:r>
                    <w:rPr>
                      <w:rFonts w:hint="eastAsia"/>
                      <w:color w:val="auto"/>
                      <w:sz w:val="21"/>
                      <w:szCs w:val="21"/>
                      <w:highlight w:val="none"/>
                      <w:lang w:val="en-US" w:eastAsia="zh-CN"/>
                    </w:rPr>
                    <w:t>次日</w:t>
                  </w:r>
                  <w:r>
                    <w:rPr>
                      <w:rFonts w:hint="eastAsia" w:ascii="Times New Roman" w:hAnsi="Times New Roman" w:eastAsia="宋体"/>
                      <w:color w:val="auto"/>
                      <w:sz w:val="21"/>
                      <w:szCs w:val="21"/>
                      <w:highlight w:val="none"/>
                      <w:lang w:eastAsia="zh-CN"/>
                    </w:rPr>
                    <w:t>0</w:t>
                  </w:r>
                  <w:r>
                    <w:rPr>
                      <w:rFonts w:hint="eastAsia"/>
                      <w:color w:val="auto"/>
                      <w:sz w:val="21"/>
                      <w:szCs w:val="21"/>
                      <w:highlight w:val="none"/>
                      <w:lang w:val="en-US" w:eastAsia="zh-CN"/>
                    </w:rPr>
                    <w:t>8</w:t>
                  </w:r>
                  <w:r>
                    <w:rPr>
                      <w:rFonts w:hint="eastAsia" w:ascii="Times New Roman" w:hAnsi="Times New Roman" w:eastAsia="宋体"/>
                      <w:color w:val="auto"/>
                      <w:sz w:val="21"/>
                      <w:szCs w:val="21"/>
                      <w:highlight w:val="none"/>
                      <w:lang w:eastAsia="zh-CN"/>
                    </w:rPr>
                    <w:t>:0</w:t>
                  </w:r>
                  <w:r>
                    <w:rPr>
                      <w:rFonts w:hint="eastAsia" w:ascii="Times New Roman" w:hAnsi="Times New Roman" w:eastAsia="宋体"/>
                      <w:color w:val="auto"/>
                      <w:sz w:val="21"/>
                      <w:szCs w:val="21"/>
                      <w:highlight w:val="none"/>
                      <w:lang w:val="en-US" w:eastAsia="zh-CN"/>
                    </w:rPr>
                    <w:t>5</w:t>
                  </w:r>
                </w:p>
              </w:tc>
              <w:tc>
                <w:tcPr>
                  <w:tcW w:w="1440"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19.1</w:t>
                  </w:r>
                </w:p>
              </w:tc>
              <w:tc>
                <w:tcPr>
                  <w:tcW w:w="1485"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r>
                    <w:rPr>
                      <w:rFonts w:hint="eastAsia" w:cs="Times New Roman"/>
                      <w:color w:val="auto"/>
                      <w:kern w:val="2"/>
                      <w:sz w:val="21"/>
                      <w:szCs w:val="21"/>
                      <w:highlight w:val="none"/>
                      <w:lang w:val="en-US" w:eastAsia="zh-CN" w:bidi="ar-SA"/>
                    </w:rPr>
                    <w:t>8.26</w:t>
                  </w:r>
                </w:p>
              </w:tc>
              <w:tc>
                <w:tcPr>
                  <w:tcW w:w="1425" w:type="dxa"/>
                  <w:noWrap w:val="0"/>
                  <w:vAlign w:val="center"/>
                </w:tcPr>
                <w:p>
                  <w:pPr>
                    <w:pStyle w:val="4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东</w:t>
                  </w:r>
                  <w:r>
                    <w:rPr>
                      <w:rFonts w:hint="eastAsia" w:cs="Times New Roman"/>
                      <w:color w:val="auto"/>
                      <w:sz w:val="21"/>
                      <w:szCs w:val="21"/>
                      <w:highlight w:val="none"/>
                      <w:lang w:val="en-US" w:eastAsia="zh-CN"/>
                    </w:rPr>
                    <w:t>南</w:t>
                  </w:r>
                  <w:r>
                    <w:rPr>
                      <w:rFonts w:hint="eastAsia" w:ascii="Times New Roman" w:hAnsi="Times New Roman" w:eastAsia="宋体" w:cs="Times New Roman"/>
                      <w:color w:val="auto"/>
                      <w:sz w:val="21"/>
                      <w:szCs w:val="21"/>
                      <w:highlight w:val="none"/>
                      <w:lang w:val="en-US" w:eastAsia="zh-CN"/>
                    </w:rPr>
                    <w:t>风</w:t>
                  </w:r>
                  <w:r>
                    <w:rPr>
                      <w:rFonts w:hint="eastAsia" w:cs="Times New Roman"/>
                      <w:color w:val="auto"/>
                      <w:sz w:val="21"/>
                      <w:szCs w:val="21"/>
                      <w:highlight w:val="none"/>
                      <w:lang w:val="en-US" w:eastAsia="zh-CN"/>
                    </w:rPr>
                    <w:t>130</w:t>
                  </w:r>
                  <w:r>
                    <w:rPr>
                      <w:rFonts w:hint="default" w:ascii="Times New Roman" w:hAnsi="Times New Roman" w:eastAsia="宋体" w:cs="Times New Roman"/>
                      <w:color w:val="auto"/>
                      <w:sz w:val="21"/>
                      <w:szCs w:val="21"/>
                      <w:highlight w:val="none"/>
                    </w:rPr>
                    <w:t>°</w:t>
                  </w:r>
                </w:p>
              </w:tc>
              <w:tc>
                <w:tcPr>
                  <w:tcW w:w="1165" w:type="dxa"/>
                  <w:noWrap w:val="0"/>
                  <w:vAlign w:val="center"/>
                </w:tcPr>
                <w:p>
                  <w:pPr>
                    <w:pStyle w:val="41"/>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1.7</w:t>
                  </w:r>
                </w:p>
              </w:tc>
              <w:tc>
                <w:tcPr>
                  <w:tcW w:w="1563" w:type="dxa"/>
                  <w:noWrap w:val="0"/>
                  <w:vAlign w:val="center"/>
                </w:tcPr>
                <w:p>
                  <w:pPr>
                    <w:pStyle w:val="41"/>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晴转多云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tblHeader/>
                <w:jc w:val="center"/>
              </w:trPr>
              <w:tc>
                <w:tcPr>
                  <w:tcW w:w="1223" w:type="dxa"/>
                  <w:noWrap w:val="0"/>
                  <w:vAlign w:val="center"/>
                </w:tcPr>
                <w:p>
                  <w:pPr>
                    <w:pStyle w:val="41"/>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2022-0</w:t>
                  </w:r>
                  <w:r>
                    <w:rPr>
                      <w:rFonts w:hint="eastAsia"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16</w:t>
                  </w:r>
                </w:p>
              </w:tc>
              <w:tc>
                <w:tcPr>
                  <w:tcW w:w="1693" w:type="dxa"/>
                  <w:noWrap w:val="0"/>
                  <w:vAlign w:val="center"/>
                </w:tcPr>
                <w:p>
                  <w:pPr>
                    <w:pStyle w:val="41"/>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 w:val="21"/>
                      <w:szCs w:val="21"/>
                      <w:highlight w:val="none"/>
                    </w:rPr>
                    <w:t>08:</w:t>
                  </w:r>
                  <w:r>
                    <w:rPr>
                      <w:rFonts w:hint="eastAsia" w:ascii="Times New Roman" w:hAnsi="Times New Roman" w:eastAsia="宋体"/>
                      <w:color w:val="auto"/>
                      <w:sz w:val="21"/>
                      <w:szCs w:val="21"/>
                      <w:highlight w:val="none"/>
                      <w:lang w:val="en-US" w:eastAsia="zh-CN"/>
                    </w:rPr>
                    <w:t>09</w:t>
                  </w:r>
                  <w:r>
                    <w:rPr>
                      <w:rFonts w:hint="eastAsia"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次日</w:t>
                  </w:r>
                  <w:r>
                    <w:rPr>
                      <w:rFonts w:hint="eastAsia" w:ascii="Times New Roman" w:hAnsi="Times New Roman" w:eastAsia="宋体"/>
                      <w:color w:val="auto"/>
                      <w:sz w:val="21"/>
                      <w:szCs w:val="21"/>
                      <w:highlight w:val="none"/>
                      <w:lang w:eastAsia="zh-CN"/>
                    </w:rPr>
                    <w:t>0</w:t>
                  </w:r>
                  <w:r>
                    <w:rPr>
                      <w:rFonts w:hint="eastAsia"/>
                      <w:color w:val="auto"/>
                      <w:sz w:val="21"/>
                      <w:szCs w:val="21"/>
                      <w:highlight w:val="none"/>
                      <w:lang w:val="en-US" w:eastAsia="zh-CN"/>
                    </w:rPr>
                    <w:t>8</w:t>
                  </w:r>
                  <w:r>
                    <w:rPr>
                      <w:rFonts w:hint="eastAsia" w:ascii="Times New Roman" w:hAnsi="Times New Roman" w:eastAsia="宋体"/>
                      <w:color w:val="auto"/>
                      <w:sz w:val="21"/>
                      <w:szCs w:val="21"/>
                      <w:highlight w:val="none"/>
                      <w:lang w:eastAsia="zh-CN"/>
                    </w:rPr>
                    <w:t>:0</w:t>
                  </w:r>
                  <w:r>
                    <w:rPr>
                      <w:rFonts w:hint="eastAsia"/>
                      <w:color w:val="auto"/>
                      <w:sz w:val="21"/>
                      <w:szCs w:val="21"/>
                      <w:highlight w:val="none"/>
                      <w:lang w:val="en-US" w:eastAsia="zh-CN"/>
                    </w:rPr>
                    <w:t>9</w:t>
                  </w:r>
                </w:p>
              </w:tc>
              <w:tc>
                <w:tcPr>
                  <w:tcW w:w="1440" w:type="dxa"/>
                  <w:noWrap w:val="0"/>
                  <w:vAlign w:val="center"/>
                </w:tcPr>
                <w:p>
                  <w:pPr>
                    <w:pStyle w:val="41"/>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18.2</w:t>
                  </w:r>
                </w:p>
              </w:tc>
              <w:tc>
                <w:tcPr>
                  <w:tcW w:w="1485" w:type="dxa"/>
                  <w:noWrap w:val="0"/>
                  <w:vAlign w:val="center"/>
                </w:tcPr>
                <w:p>
                  <w:pPr>
                    <w:pStyle w:val="4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r>
                    <w:rPr>
                      <w:rFonts w:hint="eastAsia" w:cs="Times New Roman"/>
                      <w:color w:val="auto"/>
                      <w:kern w:val="2"/>
                      <w:sz w:val="21"/>
                      <w:szCs w:val="21"/>
                      <w:highlight w:val="none"/>
                      <w:lang w:val="en-US" w:eastAsia="zh-CN" w:bidi="ar-SA"/>
                    </w:rPr>
                    <w:t>8.51</w:t>
                  </w:r>
                </w:p>
              </w:tc>
              <w:tc>
                <w:tcPr>
                  <w:tcW w:w="1425" w:type="dxa"/>
                  <w:noWrap w:val="0"/>
                  <w:vAlign w:val="center"/>
                </w:tcPr>
                <w:p>
                  <w:pPr>
                    <w:pStyle w:val="41"/>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西南风225</w:t>
                  </w:r>
                  <w:r>
                    <w:rPr>
                      <w:rFonts w:hint="default" w:ascii="Times New Roman" w:hAnsi="Times New Roman" w:eastAsia="宋体" w:cs="Times New Roman"/>
                      <w:color w:val="auto"/>
                      <w:sz w:val="21"/>
                      <w:szCs w:val="21"/>
                      <w:highlight w:val="none"/>
                    </w:rPr>
                    <w:t>°</w:t>
                  </w:r>
                </w:p>
              </w:tc>
              <w:tc>
                <w:tcPr>
                  <w:tcW w:w="1165" w:type="dxa"/>
                  <w:noWrap w:val="0"/>
                  <w:vAlign w:val="center"/>
                </w:tcPr>
                <w:p>
                  <w:pPr>
                    <w:pStyle w:val="4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3.9</w:t>
                  </w:r>
                </w:p>
              </w:tc>
              <w:tc>
                <w:tcPr>
                  <w:tcW w:w="1563" w:type="dxa"/>
                  <w:noWrap w:val="0"/>
                  <w:vAlign w:val="center"/>
                </w:tcPr>
                <w:p>
                  <w:pPr>
                    <w:pStyle w:val="41"/>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多云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tblHeader/>
                <w:jc w:val="center"/>
              </w:trPr>
              <w:tc>
                <w:tcPr>
                  <w:tcW w:w="1223" w:type="dxa"/>
                  <w:noWrap w:val="0"/>
                  <w:vAlign w:val="center"/>
                </w:tcPr>
                <w:p>
                  <w:pPr>
                    <w:pStyle w:val="41"/>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2022-09-17</w:t>
                  </w:r>
                </w:p>
              </w:tc>
              <w:tc>
                <w:tcPr>
                  <w:tcW w:w="1693" w:type="dxa"/>
                  <w:noWrap w:val="0"/>
                  <w:vAlign w:val="center"/>
                </w:tcPr>
                <w:p>
                  <w:pPr>
                    <w:pStyle w:val="41"/>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08</w:t>
                  </w:r>
                  <w:r>
                    <w:rPr>
                      <w:rFonts w:hint="eastAsia" w:ascii="Times New Roman" w:hAnsi="Times New Roman" w:eastAsia="宋体"/>
                      <w:color w:val="auto"/>
                      <w:sz w:val="21"/>
                      <w:szCs w:val="21"/>
                      <w:highlight w:val="none"/>
                    </w:rPr>
                    <w:t>:</w:t>
                  </w:r>
                  <w:r>
                    <w:rPr>
                      <w:rFonts w:hint="eastAsia"/>
                      <w:color w:val="auto"/>
                      <w:sz w:val="21"/>
                      <w:szCs w:val="21"/>
                      <w:highlight w:val="none"/>
                      <w:lang w:val="en-US" w:eastAsia="zh-CN"/>
                    </w:rPr>
                    <w:t>13</w:t>
                  </w:r>
                  <w:r>
                    <w:rPr>
                      <w:rFonts w:hint="eastAsia"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次日</w:t>
                  </w:r>
                  <w:r>
                    <w:rPr>
                      <w:rFonts w:hint="eastAsia"/>
                      <w:color w:val="auto"/>
                      <w:sz w:val="21"/>
                      <w:szCs w:val="21"/>
                      <w:highlight w:val="none"/>
                      <w:lang w:val="en-US" w:eastAsia="zh-CN"/>
                    </w:rPr>
                    <w:t>08</w:t>
                  </w:r>
                  <w:r>
                    <w:rPr>
                      <w:rFonts w:hint="eastAsia" w:ascii="Times New Roman" w:hAnsi="Times New Roman" w:eastAsia="宋体"/>
                      <w:color w:val="auto"/>
                      <w:sz w:val="21"/>
                      <w:szCs w:val="21"/>
                      <w:highlight w:val="none"/>
                      <w:lang w:eastAsia="zh-CN"/>
                    </w:rPr>
                    <w:t>:</w:t>
                  </w:r>
                  <w:r>
                    <w:rPr>
                      <w:rFonts w:hint="eastAsia"/>
                      <w:color w:val="auto"/>
                      <w:sz w:val="21"/>
                      <w:szCs w:val="21"/>
                      <w:highlight w:val="none"/>
                      <w:lang w:val="en-US" w:eastAsia="zh-CN"/>
                    </w:rPr>
                    <w:t>13</w:t>
                  </w:r>
                </w:p>
              </w:tc>
              <w:tc>
                <w:tcPr>
                  <w:tcW w:w="1440" w:type="dxa"/>
                  <w:noWrap w:val="0"/>
                  <w:vAlign w:val="center"/>
                </w:tcPr>
                <w:p>
                  <w:pPr>
                    <w:pStyle w:val="4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17.4</w:t>
                  </w:r>
                </w:p>
              </w:tc>
              <w:tc>
                <w:tcPr>
                  <w:tcW w:w="1485" w:type="dxa"/>
                  <w:noWrap w:val="0"/>
                  <w:vAlign w:val="center"/>
                </w:tcPr>
                <w:p>
                  <w:pPr>
                    <w:pStyle w:val="4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r>
                    <w:rPr>
                      <w:rFonts w:hint="eastAsia" w:cs="Times New Roman"/>
                      <w:color w:val="auto"/>
                      <w:kern w:val="2"/>
                      <w:sz w:val="21"/>
                      <w:szCs w:val="21"/>
                      <w:highlight w:val="none"/>
                      <w:lang w:val="en-US" w:eastAsia="zh-CN" w:bidi="ar-SA"/>
                    </w:rPr>
                    <w:t>8.78</w:t>
                  </w:r>
                </w:p>
              </w:tc>
              <w:tc>
                <w:tcPr>
                  <w:tcW w:w="1425" w:type="dxa"/>
                  <w:noWrap w:val="0"/>
                  <w:vAlign w:val="center"/>
                </w:tcPr>
                <w:p>
                  <w:pPr>
                    <w:pStyle w:val="41"/>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东北风45</w:t>
                  </w:r>
                  <w:r>
                    <w:rPr>
                      <w:rFonts w:hint="default" w:ascii="Times New Roman" w:hAnsi="Times New Roman" w:eastAsia="宋体" w:cs="Times New Roman"/>
                      <w:color w:val="auto"/>
                      <w:sz w:val="21"/>
                      <w:szCs w:val="21"/>
                      <w:highlight w:val="none"/>
                    </w:rPr>
                    <w:t>°</w:t>
                  </w:r>
                </w:p>
              </w:tc>
              <w:tc>
                <w:tcPr>
                  <w:tcW w:w="1165" w:type="dxa"/>
                  <w:noWrap w:val="0"/>
                  <w:vAlign w:val="center"/>
                </w:tcPr>
                <w:p>
                  <w:pPr>
                    <w:pStyle w:val="4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2.1</w:t>
                  </w:r>
                </w:p>
              </w:tc>
              <w:tc>
                <w:tcPr>
                  <w:tcW w:w="1563" w:type="dxa"/>
                  <w:noWrap w:val="0"/>
                  <w:vAlign w:val="center"/>
                </w:tcPr>
                <w:p>
                  <w:pPr>
                    <w:pStyle w:val="41"/>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晴</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0" w:firstLineChars="200"/>
              <w:textAlignment w:val="auto"/>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6）环境空气质量现状评价</w:t>
            </w:r>
          </w:p>
          <w:p>
            <w:pPr>
              <w:pStyle w:val="38"/>
              <w:bidi w:val="0"/>
              <w:rPr>
                <w:rFonts w:hint="default"/>
                <w:sz w:val="24"/>
                <w:szCs w:val="24"/>
              </w:rPr>
            </w:pPr>
            <w:r>
              <w:rPr>
                <w:rFonts w:hint="default"/>
                <w:sz w:val="24"/>
                <w:szCs w:val="24"/>
              </w:rPr>
              <w:t>表</w:t>
            </w:r>
            <w:r>
              <w:rPr>
                <w:rFonts w:hint="default"/>
                <w:sz w:val="24"/>
                <w:szCs w:val="24"/>
                <w:lang w:val="en-US" w:eastAsia="zh-CN"/>
              </w:rPr>
              <w:t>3-</w:t>
            </w:r>
            <w:r>
              <w:rPr>
                <w:rFonts w:hint="eastAsia"/>
                <w:sz w:val="24"/>
                <w:szCs w:val="24"/>
                <w:lang w:val="en-US" w:eastAsia="zh-CN"/>
              </w:rPr>
              <w:t>4</w:t>
            </w:r>
            <w:r>
              <w:rPr>
                <w:rFonts w:hint="default"/>
                <w:sz w:val="24"/>
                <w:szCs w:val="24"/>
              </w:rPr>
              <w:t xml:space="preserve"> 项目其他污染物环境质量现状表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1298"/>
              <w:gridCol w:w="1299"/>
              <w:gridCol w:w="1299"/>
              <w:gridCol w:w="1364"/>
              <w:gridCol w:w="1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vAlign w:val="center"/>
                </w:tcPr>
                <w:p>
                  <w:pPr>
                    <w:pStyle w:val="39"/>
                    <w:bidi w:val="0"/>
                    <w:rPr>
                      <w:rFonts w:hint="default"/>
                      <w:b/>
                      <w:bCs/>
                    </w:rPr>
                  </w:pPr>
                  <w:r>
                    <w:rPr>
                      <w:rFonts w:hint="default"/>
                      <w:b/>
                      <w:bCs/>
                    </w:rPr>
                    <w:t>污染物</w:t>
                  </w:r>
                </w:p>
              </w:tc>
              <w:tc>
                <w:tcPr>
                  <w:tcW w:w="1298" w:type="dxa"/>
                  <w:vAlign w:val="center"/>
                </w:tcPr>
                <w:p>
                  <w:pPr>
                    <w:pStyle w:val="39"/>
                    <w:bidi w:val="0"/>
                    <w:rPr>
                      <w:rFonts w:hint="default"/>
                      <w:b/>
                      <w:bCs/>
                    </w:rPr>
                  </w:pPr>
                  <w:r>
                    <w:rPr>
                      <w:rFonts w:hint="default"/>
                      <w:b/>
                      <w:bCs/>
                    </w:rPr>
                    <w:t>浓度范围</w:t>
                  </w:r>
                </w:p>
              </w:tc>
              <w:tc>
                <w:tcPr>
                  <w:tcW w:w="1299" w:type="dxa"/>
                  <w:vAlign w:val="center"/>
                </w:tcPr>
                <w:p>
                  <w:pPr>
                    <w:pStyle w:val="39"/>
                    <w:bidi w:val="0"/>
                    <w:rPr>
                      <w:rFonts w:hint="default"/>
                      <w:b/>
                      <w:bCs/>
                    </w:rPr>
                  </w:pPr>
                  <w:r>
                    <w:rPr>
                      <w:rFonts w:hint="default"/>
                      <w:b/>
                      <w:bCs/>
                    </w:rPr>
                    <w:t>标准</w:t>
                  </w:r>
                </w:p>
              </w:tc>
              <w:tc>
                <w:tcPr>
                  <w:tcW w:w="1299" w:type="dxa"/>
                  <w:vAlign w:val="center"/>
                </w:tcPr>
                <w:p>
                  <w:pPr>
                    <w:pStyle w:val="39"/>
                    <w:bidi w:val="0"/>
                    <w:rPr>
                      <w:rFonts w:hint="default"/>
                      <w:b/>
                      <w:bCs/>
                    </w:rPr>
                  </w:pPr>
                  <w:r>
                    <w:rPr>
                      <w:rFonts w:hint="default"/>
                      <w:b/>
                      <w:bCs/>
                    </w:rPr>
                    <w:t>最大占标率</w:t>
                  </w:r>
                </w:p>
              </w:tc>
              <w:tc>
                <w:tcPr>
                  <w:tcW w:w="1364" w:type="dxa"/>
                  <w:vAlign w:val="center"/>
                </w:tcPr>
                <w:p>
                  <w:pPr>
                    <w:pStyle w:val="39"/>
                    <w:bidi w:val="0"/>
                    <w:rPr>
                      <w:rFonts w:hint="default"/>
                      <w:b/>
                      <w:bCs/>
                    </w:rPr>
                  </w:pPr>
                  <w:r>
                    <w:rPr>
                      <w:rFonts w:hint="default"/>
                      <w:b/>
                      <w:bCs/>
                    </w:rPr>
                    <w:t>超标率</w:t>
                  </w:r>
                </w:p>
              </w:tc>
              <w:tc>
                <w:tcPr>
                  <w:tcW w:w="1492" w:type="dxa"/>
                  <w:vAlign w:val="center"/>
                </w:tcPr>
                <w:p>
                  <w:pPr>
                    <w:pStyle w:val="39"/>
                    <w:bidi w:val="0"/>
                    <w:rPr>
                      <w:rFonts w:hint="default"/>
                      <w:b/>
                      <w:bCs/>
                    </w:rPr>
                  </w:pPr>
                  <w:r>
                    <w:rPr>
                      <w:rFonts w:hint="default"/>
                      <w:b/>
                      <w:bCs/>
                    </w:rPr>
                    <w:t>最大超标倍数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vAlign w:val="center"/>
                </w:tcPr>
                <w:p>
                  <w:pPr>
                    <w:pStyle w:val="39"/>
                    <w:bidi w:val="0"/>
                    <w:rPr>
                      <w:rFonts w:hint="default"/>
                      <w:highlight w:val="none"/>
                      <w:lang w:val="en-US" w:eastAsia="zh-CN"/>
                    </w:rPr>
                  </w:pPr>
                  <w:r>
                    <w:rPr>
                      <w:rFonts w:hint="eastAsia"/>
                      <w:highlight w:val="none"/>
                      <w:lang w:val="en-US" w:eastAsia="zh-CN"/>
                    </w:rPr>
                    <w:t>TSP</w:t>
                  </w:r>
                </w:p>
              </w:tc>
              <w:tc>
                <w:tcPr>
                  <w:tcW w:w="1298" w:type="dxa"/>
                  <w:vAlign w:val="center"/>
                </w:tcPr>
                <w:p>
                  <w:pPr>
                    <w:pStyle w:val="39"/>
                    <w:bidi w:val="0"/>
                    <w:rPr>
                      <w:rFonts w:hint="default"/>
                      <w:highlight w:val="none"/>
                      <w:lang w:val="en-US" w:eastAsia="zh-CN"/>
                    </w:rPr>
                  </w:pPr>
                  <w:r>
                    <w:rPr>
                      <w:rFonts w:hint="default"/>
                      <w:highlight w:val="none"/>
                      <w:lang w:val="en-US" w:eastAsia="zh-CN"/>
                    </w:rPr>
                    <w:t>0</w:t>
                  </w:r>
                  <w:r>
                    <w:rPr>
                      <w:rFonts w:hint="eastAsia"/>
                      <w:highlight w:val="none"/>
                      <w:lang w:val="en-US" w:eastAsia="zh-CN"/>
                    </w:rPr>
                    <w:t>187</w:t>
                  </w:r>
                  <w:r>
                    <w:rPr>
                      <w:rFonts w:hint="default"/>
                      <w:highlight w:val="none"/>
                      <w:lang w:val="en-US" w:eastAsia="zh-CN"/>
                    </w:rPr>
                    <w:t>~0.</w:t>
                  </w:r>
                  <w:r>
                    <w:rPr>
                      <w:rFonts w:hint="eastAsia"/>
                      <w:highlight w:val="none"/>
                      <w:lang w:val="en-US" w:eastAsia="zh-CN"/>
                    </w:rPr>
                    <w:t>206</w:t>
                  </w:r>
                </w:p>
                <w:p>
                  <w:pPr>
                    <w:pStyle w:val="39"/>
                    <w:bidi w:val="0"/>
                    <w:rPr>
                      <w:rFonts w:hint="default"/>
                      <w:highlight w:val="none"/>
                    </w:rPr>
                  </w:pPr>
                  <w:r>
                    <w:rPr>
                      <w:rFonts w:hint="default"/>
                      <w:highlight w:val="none"/>
                      <w:lang w:val="en-US" w:eastAsia="zh-CN"/>
                    </w:rPr>
                    <w:t>m</w:t>
                  </w:r>
                  <w:r>
                    <w:rPr>
                      <w:rFonts w:hint="default"/>
                      <w:highlight w:val="none"/>
                    </w:rPr>
                    <w:t>g/m</w:t>
                  </w:r>
                  <w:r>
                    <w:rPr>
                      <w:rFonts w:hint="default"/>
                      <w:highlight w:val="none"/>
                      <w:vertAlign w:val="superscript"/>
                    </w:rPr>
                    <w:t>3</w:t>
                  </w:r>
                </w:p>
              </w:tc>
              <w:tc>
                <w:tcPr>
                  <w:tcW w:w="1299" w:type="dxa"/>
                  <w:vAlign w:val="center"/>
                </w:tcPr>
                <w:p>
                  <w:pPr>
                    <w:pStyle w:val="39"/>
                    <w:bidi w:val="0"/>
                    <w:rPr>
                      <w:rFonts w:hint="default"/>
                      <w:highlight w:val="none"/>
                    </w:rPr>
                  </w:pPr>
                  <w:r>
                    <w:rPr>
                      <w:rFonts w:hint="default"/>
                      <w:highlight w:val="none"/>
                      <w:lang w:val="en-US" w:eastAsia="zh-CN"/>
                    </w:rPr>
                    <w:t>0.3m</w:t>
                  </w:r>
                  <w:r>
                    <w:rPr>
                      <w:rFonts w:hint="default"/>
                      <w:highlight w:val="none"/>
                    </w:rPr>
                    <w:t>g/m</w:t>
                  </w:r>
                  <w:r>
                    <w:rPr>
                      <w:rFonts w:hint="default"/>
                      <w:highlight w:val="none"/>
                      <w:vertAlign w:val="superscript"/>
                    </w:rPr>
                    <w:t>3</w:t>
                  </w:r>
                </w:p>
              </w:tc>
              <w:tc>
                <w:tcPr>
                  <w:tcW w:w="1299" w:type="dxa"/>
                  <w:vAlign w:val="center"/>
                </w:tcPr>
                <w:p>
                  <w:pPr>
                    <w:pStyle w:val="39"/>
                    <w:bidi w:val="0"/>
                    <w:rPr>
                      <w:rFonts w:hint="default"/>
                      <w:highlight w:val="none"/>
                    </w:rPr>
                  </w:pPr>
                  <w:r>
                    <w:rPr>
                      <w:rFonts w:hint="eastAsia"/>
                      <w:highlight w:val="none"/>
                      <w:lang w:val="en-US" w:eastAsia="zh-CN"/>
                    </w:rPr>
                    <w:t>69</w:t>
                  </w:r>
                  <w:r>
                    <w:rPr>
                      <w:rFonts w:hint="default"/>
                      <w:highlight w:val="none"/>
                    </w:rPr>
                    <w:t>%</w:t>
                  </w:r>
                </w:p>
              </w:tc>
              <w:tc>
                <w:tcPr>
                  <w:tcW w:w="1364" w:type="dxa"/>
                  <w:vAlign w:val="center"/>
                </w:tcPr>
                <w:p>
                  <w:pPr>
                    <w:pStyle w:val="39"/>
                    <w:bidi w:val="0"/>
                    <w:rPr>
                      <w:rFonts w:hint="default"/>
                      <w:highlight w:val="none"/>
                    </w:rPr>
                  </w:pPr>
                  <w:r>
                    <w:rPr>
                      <w:rFonts w:hint="default"/>
                      <w:highlight w:val="none"/>
                    </w:rPr>
                    <w:t>0%</w:t>
                  </w:r>
                </w:p>
              </w:tc>
              <w:tc>
                <w:tcPr>
                  <w:tcW w:w="1492" w:type="dxa"/>
                  <w:vAlign w:val="center"/>
                </w:tcPr>
                <w:p>
                  <w:pPr>
                    <w:pStyle w:val="39"/>
                    <w:bidi w:val="0"/>
                    <w:rPr>
                      <w:rFonts w:hint="default"/>
                      <w:highlight w:val="none"/>
                    </w:rPr>
                  </w:pPr>
                  <w:r>
                    <w:rPr>
                      <w:rFonts w:hint="default"/>
                      <w:highlight w:val="none"/>
                    </w:rPr>
                    <w:t>0%</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0" w:firstLineChars="200"/>
              <w:textAlignment w:val="auto"/>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由</w:t>
            </w:r>
            <w:r>
              <w:rPr>
                <w:rFonts w:hint="eastAsia" w:ascii="Times New Roman" w:hAnsi="Times New Roman" w:eastAsia="宋体" w:cs="Times New Roman"/>
                <w:color w:val="auto"/>
                <w:sz w:val="24"/>
                <w:lang w:val="en-US" w:eastAsia="zh-CN"/>
              </w:rPr>
              <w:t>上表</w:t>
            </w:r>
            <w:r>
              <w:rPr>
                <w:rFonts w:hint="eastAsia" w:ascii="Times New Roman" w:hAnsi="Times New Roman" w:eastAsia="宋体" w:cs="Times New Roman"/>
                <w:color w:val="auto"/>
                <w:sz w:val="24"/>
              </w:rPr>
              <w:t>可知，项目区主导风向下风向</w:t>
            </w:r>
            <w:r>
              <w:rPr>
                <w:rFonts w:hint="eastAsia" w:cs="Times New Roman"/>
                <w:color w:val="auto"/>
                <w:sz w:val="24"/>
                <w:lang w:val="en-US" w:eastAsia="zh-CN"/>
              </w:rPr>
              <w:t>处</w:t>
            </w:r>
            <w:r>
              <w:rPr>
                <w:rFonts w:hint="eastAsia" w:ascii="Times New Roman" w:hAnsi="Times New Roman" w:eastAsia="宋体" w:cs="Times New Roman"/>
                <w:color w:val="auto"/>
                <w:sz w:val="24"/>
              </w:rPr>
              <w:t>其他污染物（TSP）质量浓度满足标准《环境空气质量标准》（GB3095-2012））二级标准。</w:t>
            </w:r>
          </w:p>
          <w:p>
            <w:pPr>
              <w:adjustRightInd w:val="0"/>
              <w:snapToGrid w:val="0"/>
              <w:ind w:firstLine="482" w:firstLineChars="200"/>
              <w:rPr>
                <w:b/>
                <w:bCs/>
                <w:color w:val="auto"/>
                <w:sz w:val="24"/>
              </w:rPr>
            </w:pPr>
            <w:r>
              <w:rPr>
                <w:b/>
                <w:bCs/>
                <w:color w:val="auto"/>
                <w:sz w:val="24"/>
              </w:rPr>
              <w:t>2、声环境质量现状</w:t>
            </w:r>
          </w:p>
          <w:p>
            <w:pPr>
              <w:pStyle w:val="6"/>
              <w:bidi w:val="0"/>
            </w:pPr>
            <w:r>
              <w:rPr>
                <w:rFonts w:hint="eastAsia"/>
                <w:highlight w:val="none"/>
              </w:rPr>
              <w:t>本项目委托内蒙古华智鼎环保科技有限公司于202</w:t>
            </w:r>
            <w:r>
              <w:rPr>
                <w:rFonts w:hint="eastAsia"/>
                <w:highlight w:val="none"/>
                <w:lang w:val="en-US" w:eastAsia="zh-CN"/>
              </w:rPr>
              <w:t>2</w:t>
            </w:r>
            <w:r>
              <w:rPr>
                <w:rFonts w:hint="eastAsia"/>
                <w:highlight w:val="none"/>
              </w:rPr>
              <w:t>年</w:t>
            </w:r>
            <w:r>
              <w:rPr>
                <w:rFonts w:hint="eastAsia"/>
                <w:highlight w:val="none"/>
                <w:lang w:val="en-US" w:eastAsia="zh-CN"/>
              </w:rPr>
              <w:t>9</w:t>
            </w:r>
            <w:r>
              <w:rPr>
                <w:rFonts w:hint="eastAsia"/>
                <w:highlight w:val="none"/>
              </w:rPr>
              <w:t>月1</w:t>
            </w:r>
            <w:r>
              <w:rPr>
                <w:rFonts w:hint="eastAsia"/>
                <w:highlight w:val="none"/>
                <w:lang w:val="en-US" w:eastAsia="zh-CN"/>
              </w:rPr>
              <w:t>5</w:t>
            </w:r>
            <w:r>
              <w:rPr>
                <w:rFonts w:hint="eastAsia"/>
                <w:highlight w:val="none"/>
              </w:rPr>
              <w:t>日</w:t>
            </w:r>
            <w:r>
              <w:rPr>
                <w:rFonts w:hint="eastAsia"/>
              </w:rPr>
              <w:t>对项目声环境现状进行了为期1天的监测，监测结果见下表3-</w:t>
            </w:r>
            <w:r>
              <w:rPr>
                <w:rFonts w:hint="eastAsia"/>
                <w:lang w:val="en-US" w:eastAsia="zh-CN"/>
              </w:rPr>
              <w:t>5</w:t>
            </w:r>
            <w:r>
              <w:rPr>
                <w:rFonts w:hint="eastAsia"/>
              </w:rPr>
              <w:t>。</w:t>
            </w:r>
          </w:p>
          <w:p>
            <w:pPr>
              <w:pStyle w:val="38"/>
              <w:bidi w:val="0"/>
              <w:rPr>
                <w:sz w:val="24"/>
                <w:szCs w:val="24"/>
              </w:rPr>
            </w:pPr>
            <w:r>
              <w:rPr>
                <w:sz w:val="24"/>
                <w:szCs w:val="24"/>
              </w:rPr>
              <w:t>表3-</w:t>
            </w:r>
            <w:r>
              <w:rPr>
                <w:rFonts w:hint="eastAsia"/>
                <w:sz w:val="24"/>
                <w:szCs w:val="24"/>
                <w:lang w:val="en-US" w:eastAsia="zh-CN"/>
              </w:rPr>
              <w:t>5</w:t>
            </w:r>
            <w:r>
              <w:rPr>
                <w:sz w:val="24"/>
                <w:szCs w:val="24"/>
              </w:rPr>
              <w:t xml:space="preserve"> </w:t>
            </w:r>
            <w:r>
              <w:rPr>
                <w:rFonts w:hint="eastAsia"/>
                <w:sz w:val="24"/>
                <w:szCs w:val="24"/>
              </w:rPr>
              <w:t>声环境</w:t>
            </w:r>
            <w:r>
              <w:rPr>
                <w:sz w:val="24"/>
                <w:szCs w:val="24"/>
              </w:rPr>
              <w:t>监测结果统计表</w:t>
            </w:r>
          </w:p>
          <w:tbl>
            <w:tblPr>
              <w:tblStyle w:val="23"/>
              <w:tblW w:w="80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15"/>
              <w:gridCol w:w="1363"/>
              <w:gridCol w:w="1377"/>
              <w:gridCol w:w="1323"/>
              <w:gridCol w:w="13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5" w:type="dxa"/>
                  <w:vMerge w:val="restart"/>
                  <w:vAlign w:val="center"/>
                </w:tcPr>
                <w:p>
                  <w:pPr>
                    <w:pStyle w:val="39"/>
                    <w:bidi w:val="0"/>
                    <w:rPr>
                      <w:b/>
                      <w:bCs/>
                    </w:rPr>
                  </w:pPr>
                  <w:r>
                    <w:rPr>
                      <w:b/>
                      <w:bCs/>
                    </w:rPr>
                    <w:t>监测点位</w:t>
                  </w:r>
                </w:p>
              </w:tc>
              <w:tc>
                <w:tcPr>
                  <w:tcW w:w="2740" w:type="dxa"/>
                  <w:gridSpan w:val="2"/>
                  <w:vAlign w:val="center"/>
                </w:tcPr>
                <w:p>
                  <w:pPr>
                    <w:pStyle w:val="39"/>
                    <w:bidi w:val="0"/>
                    <w:rPr>
                      <w:b/>
                      <w:bCs/>
                    </w:rPr>
                  </w:pPr>
                  <w:r>
                    <w:rPr>
                      <w:b/>
                      <w:bCs/>
                    </w:rPr>
                    <w:t>监测时间</w:t>
                  </w:r>
                </w:p>
              </w:tc>
              <w:tc>
                <w:tcPr>
                  <w:tcW w:w="2667" w:type="dxa"/>
                  <w:gridSpan w:val="2"/>
                  <w:vMerge w:val="restart"/>
                  <w:vAlign w:val="center"/>
                </w:tcPr>
                <w:p>
                  <w:pPr>
                    <w:pStyle w:val="39"/>
                    <w:bidi w:val="0"/>
                    <w:rPr>
                      <w:b/>
                      <w:bCs/>
                    </w:rPr>
                  </w:pPr>
                  <w:r>
                    <w:rPr>
                      <w:b/>
                      <w:bCs/>
                    </w:rPr>
                    <w:t>标准限值</w:t>
                  </w:r>
                  <w:r>
                    <w:rPr>
                      <w:rFonts w:hint="eastAsia"/>
                      <w:b/>
                      <w:bCs/>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5" w:type="dxa"/>
                  <w:vMerge w:val="continue"/>
                  <w:vAlign w:val="center"/>
                </w:tcPr>
                <w:p>
                  <w:pPr>
                    <w:pStyle w:val="39"/>
                    <w:bidi w:val="0"/>
                    <w:rPr>
                      <w:b/>
                      <w:bCs/>
                    </w:rPr>
                  </w:pPr>
                </w:p>
              </w:tc>
              <w:tc>
                <w:tcPr>
                  <w:tcW w:w="2740" w:type="dxa"/>
                  <w:gridSpan w:val="2"/>
                  <w:vAlign w:val="center"/>
                </w:tcPr>
                <w:p>
                  <w:pPr>
                    <w:pStyle w:val="39"/>
                    <w:bidi w:val="0"/>
                    <w:rPr>
                      <w:rFonts w:hint="eastAsia" w:eastAsia="宋体"/>
                      <w:b/>
                      <w:bCs/>
                      <w:lang w:eastAsia="zh-CN"/>
                    </w:rPr>
                  </w:pPr>
                  <w:r>
                    <w:rPr>
                      <w:b/>
                      <w:bCs/>
                    </w:rPr>
                    <w:t>202</w:t>
                  </w:r>
                  <w:r>
                    <w:rPr>
                      <w:rFonts w:hint="eastAsia"/>
                      <w:b/>
                      <w:bCs/>
                    </w:rPr>
                    <w:t>2</w:t>
                  </w:r>
                  <w:r>
                    <w:rPr>
                      <w:b/>
                      <w:bCs/>
                    </w:rPr>
                    <w:t>.</w:t>
                  </w:r>
                  <w:r>
                    <w:rPr>
                      <w:rFonts w:hint="eastAsia"/>
                      <w:b/>
                      <w:bCs/>
                      <w:lang w:val="en-US" w:eastAsia="zh-CN"/>
                    </w:rPr>
                    <w:t>9</w:t>
                  </w:r>
                  <w:r>
                    <w:rPr>
                      <w:b/>
                      <w:bCs/>
                    </w:rPr>
                    <w:t>.</w:t>
                  </w:r>
                  <w:r>
                    <w:rPr>
                      <w:rFonts w:hint="eastAsia"/>
                      <w:b/>
                      <w:bCs/>
                    </w:rPr>
                    <w:t>1</w:t>
                  </w:r>
                  <w:r>
                    <w:rPr>
                      <w:rFonts w:hint="eastAsia"/>
                      <w:b/>
                      <w:bCs/>
                      <w:lang w:val="en-US" w:eastAsia="zh-CN"/>
                    </w:rPr>
                    <w:t>5</w:t>
                  </w:r>
                </w:p>
              </w:tc>
              <w:tc>
                <w:tcPr>
                  <w:tcW w:w="2667" w:type="dxa"/>
                  <w:gridSpan w:val="2"/>
                  <w:vMerge w:val="continue"/>
                  <w:vAlign w:val="center"/>
                </w:tcPr>
                <w:p>
                  <w:pPr>
                    <w:pStyle w:val="39"/>
                    <w:bidi w:val="0"/>
                    <w:rPr>
                      <w:b/>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5" w:type="dxa"/>
                  <w:vMerge w:val="continue"/>
                  <w:vAlign w:val="center"/>
                </w:tcPr>
                <w:p>
                  <w:pPr>
                    <w:pStyle w:val="39"/>
                    <w:bidi w:val="0"/>
                    <w:rPr>
                      <w:b/>
                      <w:bCs/>
                    </w:rPr>
                  </w:pPr>
                </w:p>
              </w:tc>
              <w:tc>
                <w:tcPr>
                  <w:tcW w:w="1363" w:type="dxa"/>
                  <w:vAlign w:val="center"/>
                </w:tcPr>
                <w:p>
                  <w:pPr>
                    <w:pStyle w:val="39"/>
                    <w:bidi w:val="0"/>
                    <w:rPr>
                      <w:b/>
                      <w:bCs/>
                    </w:rPr>
                  </w:pPr>
                  <w:r>
                    <w:rPr>
                      <w:b/>
                      <w:bCs/>
                    </w:rPr>
                    <w:t>昼间</w:t>
                  </w:r>
                </w:p>
              </w:tc>
              <w:tc>
                <w:tcPr>
                  <w:tcW w:w="1377" w:type="dxa"/>
                  <w:vAlign w:val="center"/>
                </w:tcPr>
                <w:p>
                  <w:pPr>
                    <w:pStyle w:val="39"/>
                    <w:bidi w:val="0"/>
                    <w:rPr>
                      <w:b/>
                      <w:bCs/>
                    </w:rPr>
                  </w:pPr>
                  <w:r>
                    <w:rPr>
                      <w:b/>
                      <w:bCs/>
                    </w:rPr>
                    <w:t>夜间</w:t>
                  </w:r>
                </w:p>
              </w:tc>
              <w:tc>
                <w:tcPr>
                  <w:tcW w:w="1323" w:type="dxa"/>
                  <w:vAlign w:val="center"/>
                </w:tcPr>
                <w:p>
                  <w:pPr>
                    <w:pStyle w:val="39"/>
                    <w:bidi w:val="0"/>
                    <w:rPr>
                      <w:b/>
                      <w:bCs/>
                    </w:rPr>
                  </w:pPr>
                  <w:r>
                    <w:rPr>
                      <w:b/>
                      <w:bCs/>
                    </w:rPr>
                    <w:t>昼间</w:t>
                  </w:r>
                </w:p>
              </w:tc>
              <w:tc>
                <w:tcPr>
                  <w:tcW w:w="1344" w:type="dxa"/>
                  <w:vAlign w:val="center"/>
                </w:tcPr>
                <w:p>
                  <w:pPr>
                    <w:pStyle w:val="39"/>
                    <w:bidi w:val="0"/>
                    <w:rPr>
                      <w:b/>
                      <w:bCs/>
                    </w:rPr>
                  </w:pPr>
                  <w:r>
                    <w:rPr>
                      <w:b/>
                      <w:bCs/>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15" w:type="dxa"/>
                  <w:vAlign w:val="center"/>
                </w:tcPr>
                <w:p>
                  <w:pPr>
                    <w:pStyle w:val="39"/>
                    <w:bidi w:val="0"/>
                  </w:pPr>
                  <w:r>
                    <w:rPr>
                      <w:rFonts w:hint="eastAsia"/>
                    </w:rPr>
                    <w:t>N1项目厂界西北侧居民房</w:t>
                  </w:r>
                </w:p>
              </w:tc>
              <w:tc>
                <w:tcPr>
                  <w:tcW w:w="1363" w:type="dxa"/>
                  <w:vAlign w:val="center"/>
                </w:tcPr>
                <w:p>
                  <w:pPr>
                    <w:pStyle w:val="39"/>
                    <w:bidi w:val="0"/>
                    <w:rPr>
                      <w:rFonts w:hint="default" w:eastAsia="宋体"/>
                      <w:lang w:val="en-US" w:eastAsia="zh-CN"/>
                    </w:rPr>
                  </w:pPr>
                  <w:r>
                    <w:rPr>
                      <w:rFonts w:hint="eastAsia"/>
                      <w:lang w:val="en-US" w:eastAsia="zh-CN"/>
                    </w:rPr>
                    <w:t>48</w:t>
                  </w:r>
                </w:p>
              </w:tc>
              <w:tc>
                <w:tcPr>
                  <w:tcW w:w="1377" w:type="dxa"/>
                  <w:vAlign w:val="center"/>
                </w:tcPr>
                <w:p>
                  <w:pPr>
                    <w:pStyle w:val="39"/>
                    <w:bidi w:val="0"/>
                    <w:rPr>
                      <w:rFonts w:hint="default" w:eastAsia="宋体"/>
                      <w:lang w:val="en-US" w:eastAsia="zh-CN"/>
                    </w:rPr>
                  </w:pPr>
                  <w:r>
                    <w:rPr>
                      <w:rFonts w:hint="eastAsia"/>
                      <w:lang w:val="en-US" w:eastAsia="zh-CN"/>
                    </w:rPr>
                    <w:t>44</w:t>
                  </w:r>
                </w:p>
              </w:tc>
              <w:tc>
                <w:tcPr>
                  <w:tcW w:w="1323" w:type="dxa"/>
                  <w:vAlign w:val="center"/>
                </w:tcPr>
                <w:p>
                  <w:pPr>
                    <w:pStyle w:val="39"/>
                    <w:bidi w:val="0"/>
                  </w:pPr>
                  <w:r>
                    <w:t>60</w:t>
                  </w:r>
                </w:p>
              </w:tc>
              <w:tc>
                <w:tcPr>
                  <w:tcW w:w="1344" w:type="dxa"/>
                  <w:vAlign w:val="center"/>
                </w:tcPr>
                <w:p>
                  <w:pPr>
                    <w:pStyle w:val="39"/>
                    <w:bidi w:val="0"/>
                  </w:pPr>
                  <w:r>
                    <w:t>50</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rPr>
                <w:color w:val="auto"/>
                <w:kern w:val="0"/>
                <w:sz w:val="24"/>
              </w:rPr>
            </w:pPr>
            <w:r>
              <w:rPr>
                <w:rFonts w:hint="eastAsia" w:eastAsia="宋体" w:cs="Times New Roman"/>
              </w:rPr>
              <w:t>由上表可知，项目厂界西北侧居民房敏感点满足《声环境质量标准》（GB3096-2008）中2类标准限值。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9" w:hRule="atLeast"/>
          <w:jc w:val="center"/>
        </w:trPr>
        <w:tc>
          <w:tcPr>
            <w:tcW w:w="800" w:type="dxa"/>
            <w:noWrap w:val="0"/>
            <w:vAlign w:val="center"/>
          </w:tcPr>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保护</w:t>
            </w:r>
          </w:p>
          <w:p>
            <w:pPr>
              <w:adjustRightInd w:val="0"/>
              <w:snapToGrid w:val="0"/>
              <w:jc w:val="center"/>
              <w:rPr>
                <w:color w:val="auto"/>
                <w:kern w:val="0"/>
                <w:sz w:val="24"/>
              </w:rPr>
            </w:pPr>
            <w:r>
              <w:rPr>
                <w:color w:val="auto"/>
                <w:kern w:val="0"/>
                <w:sz w:val="24"/>
              </w:rPr>
              <w:t>目标</w:t>
            </w:r>
          </w:p>
        </w:tc>
        <w:tc>
          <w:tcPr>
            <w:tcW w:w="8190" w:type="dxa"/>
            <w:noWrap w:val="0"/>
            <w:vAlign w:val="center"/>
          </w:tcPr>
          <w:p>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80" w:firstLineChars="200"/>
              <w:textAlignment w:val="auto"/>
              <w:rPr>
                <w:rFonts w:hint="eastAsia"/>
                <w:b w:val="0"/>
                <w:bCs w:val="0"/>
                <w:color w:val="auto"/>
                <w:sz w:val="24"/>
                <w:szCs w:val="24"/>
                <w:lang w:val="en-US" w:eastAsia="zh-CN"/>
              </w:rPr>
            </w:pPr>
            <w:r>
              <w:rPr>
                <w:rFonts w:hint="eastAsia"/>
                <w:b w:val="0"/>
                <w:bCs w:val="0"/>
                <w:color w:val="auto"/>
                <w:sz w:val="24"/>
                <w:szCs w:val="24"/>
              </w:rPr>
              <w:t>项目环境保护目标见表3-</w:t>
            </w:r>
            <w:r>
              <w:rPr>
                <w:rFonts w:hint="eastAsia"/>
                <w:b w:val="0"/>
                <w:bCs w:val="0"/>
                <w:color w:val="auto"/>
                <w:sz w:val="24"/>
                <w:szCs w:val="24"/>
                <w:lang w:val="en-US" w:eastAsia="zh-CN"/>
              </w:rPr>
              <w:t>6和附图4。</w:t>
            </w:r>
          </w:p>
          <w:p>
            <w:pPr>
              <w:pStyle w:val="10"/>
              <w:spacing w:before="0" w:after="0" w:line="240" w:lineRule="auto"/>
              <w:ind w:right="0"/>
              <w:jc w:val="center"/>
              <w:rPr>
                <w:color w:val="auto"/>
                <w:sz w:val="24"/>
                <w:szCs w:val="24"/>
              </w:rPr>
            </w:pPr>
            <w:r>
              <w:rPr>
                <w:b/>
                <w:color w:val="auto"/>
                <w:sz w:val="24"/>
                <w:szCs w:val="24"/>
              </w:rPr>
              <w:t>表3-</w:t>
            </w:r>
            <w:r>
              <w:rPr>
                <w:rFonts w:hint="eastAsia"/>
                <w:b/>
                <w:color w:val="auto"/>
                <w:sz w:val="24"/>
                <w:szCs w:val="24"/>
                <w:lang w:val="en-US" w:eastAsia="zh-CN"/>
              </w:rPr>
              <w:t>6</w:t>
            </w:r>
            <w:r>
              <w:rPr>
                <w:b/>
                <w:color w:val="auto"/>
                <w:sz w:val="24"/>
                <w:szCs w:val="24"/>
              </w:rPr>
              <w:t xml:space="preserve"> 环境保护目标</w:t>
            </w:r>
            <w:r>
              <w:rPr>
                <w:rFonts w:hint="eastAsia"/>
                <w:b/>
                <w:color w:val="auto"/>
                <w:sz w:val="24"/>
                <w:szCs w:val="24"/>
                <w:lang w:val="en-US" w:eastAsia="zh-CN"/>
              </w:rPr>
              <w:t>一览</w:t>
            </w:r>
            <w:r>
              <w:rPr>
                <w:b/>
                <w:color w:val="auto"/>
                <w:sz w:val="24"/>
                <w:szCs w:val="24"/>
              </w:rPr>
              <w:t>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9"/>
              <w:gridCol w:w="899"/>
              <w:gridCol w:w="844"/>
              <w:gridCol w:w="1451"/>
              <w:gridCol w:w="972"/>
              <w:gridCol w:w="989"/>
              <w:gridCol w:w="1033"/>
              <w:gridCol w:w="11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vMerge w:val="restart"/>
                  <w:noWrap w:val="0"/>
                  <w:vAlign w:val="center"/>
                </w:tcPr>
                <w:p>
                  <w:pPr>
                    <w:spacing w:line="240" w:lineRule="auto"/>
                    <w:jc w:val="center"/>
                    <w:rPr>
                      <w:color w:val="auto"/>
                      <w:szCs w:val="21"/>
                      <w:highlight w:val="yellow"/>
                    </w:rPr>
                  </w:pPr>
                  <w:r>
                    <w:rPr>
                      <w:b/>
                      <w:bCs/>
                      <w:color w:val="auto"/>
                      <w:szCs w:val="21"/>
                    </w:rPr>
                    <w:t>环境要素</w:t>
                  </w:r>
                </w:p>
              </w:tc>
              <w:tc>
                <w:tcPr>
                  <w:tcW w:w="1083" w:type="pct"/>
                  <w:gridSpan w:val="2"/>
                  <w:noWrap w:val="0"/>
                  <w:vAlign w:val="center"/>
                </w:tcPr>
                <w:p>
                  <w:pPr>
                    <w:spacing w:line="240" w:lineRule="auto"/>
                    <w:jc w:val="center"/>
                    <w:rPr>
                      <w:b/>
                      <w:bCs/>
                      <w:color w:val="auto"/>
                      <w:szCs w:val="21"/>
                    </w:rPr>
                  </w:pPr>
                  <w:r>
                    <w:rPr>
                      <w:b/>
                      <w:bCs/>
                      <w:color w:val="auto"/>
                      <w:szCs w:val="21"/>
                    </w:rPr>
                    <w:t>坐标</w:t>
                  </w:r>
                </w:p>
              </w:tc>
              <w:tc>
                <w:tcPr>
                  <w:tcW w:w="901" w:type="pct"/>
                  <w:vMerge w:val="restart"/>
                  <w:noWrap w:val="0"/>
                  <w:vAlign w:val="center"/>
                </w:tcPr>
                <w:p>
                  <w:pPr>
                    <w:spacing w:line="240" w:lineRule="auto"/>
                    <w:jc w:val="center"/>
                    <w:rPr>
                      <w:b/>
                      <w:bCs/>
                      <w:color w:val="auto"/>
                      <w:szCs w:val="21"/>
                    </w:rPr>
                  </w:pPr>
                  <w:r>
                    <w:rPr>
                      <w:b/>
                      <w:bCs/>
                      <w:color w:val="auto"/>
                      <w:szCs w:val="21"/>
                    </w:rPr>
                    <w:t>保护对象</w:t>
                  </w:r>
                </w:p>
              </w:tc>
              <w:tc>
                <w:tcPr>
                  <w:tcW w:w="604" w:type="pct"/>
                  <w:vMerge w:val="restart"/>
                  <w:noWrap w:val="0"/>
                  <w:vAlign w:val="center"/>
                </w:tcPr>
                <w:p>
                  <w:pPr>
                    <w:spacing w:line="240" w:lineRule="auto"/>
                    <w:jc w:val="center"/>
                    <w:rPr>
                      <w:b/>
                      <w:bCs/>
                      <w:color w:val="auto"/>
                      <w:szCs w:val="21"/>
                    </w:rPr>
                  </w:pPr>
                  <w:r>
                    <w:rPr>
                      <w:b/>
                      <w:bCs/>
                      <w:color w:val="auto"/>
                      <w:szCs w:val="21"/>
                    </w:rPr>
                    <w:t>保护内容</w:t>
                  </w:r>
                </w:p>
              </w:tc>
              <w:tc>
                <w:tcPr>
                  <w:tcW w:w="614" w:type="pct"/>
                  <w:vMerge w:val="restart"/>
                  <w:noWrap w:val="0"/>
                  <w:vAlign w:val="center"/>
                </w:tcPr>
                <w:p>
                  <w:pPr>
                    <w:spacing w:line="240" w:lineRule="auto"/>
                    <w:jc w:val="center"/>
                    <w:rPr>
                      <w:b/>
                      <w:bCs/>
                      <w:color w:val="auto"/>
                      <w:szCs w:val="21"/>
                    </w:rPr>
                  </w:pPr>
                  <w:r>
                    <w:rPr>
                      <w:b/>
                      <w:bCs/>
                      <w:color w:val="auto"/>
                      <w:szCs w:val="21"/>
                    </w:rPr>
                    <w:t>环境功能区</w:t>
                  </w:r>
                </w:p>
              </w:tc>
              <w:tc>
                <w:tcPr>
                  <w:tcW w:w="642" w:type="pct"/>
                  <w:vMerge w:val="restart"/>
                  <w:noWrap w:val="0"/>
                  <w:vAlign w:val="center"/>
                </w:tcPr>
                <w:p>
                  <w:pPr>
                    <w:spacing w:line="240" w:lineRule="auto"/>
                    <w:jc w:val="center"/>
                    <w:rPr>
                      <w:b/>
                      <w:bCs/>
                      <w:color w:val="auto"/>
                      <w:szCs w:val="21"/>
                    </w:rPr>
                  </w:pPr>
                  <w:r>
                    <w:rPr>
                      <w:b/>
                      <w:bCs/>
                      <w:color w:val="auto"/>
                      <w:szCs w:val="21"/>
                    </w:rPr>
                    <w:t>相对厂址方位</w:t>
                  </w:r>
                </w:p>
              </w:tc>
              <w:tc>
                <w:tcPr>
                  <w:tcW w:w="737" w:type="pct"/>
                  <w:vMerge w:val="restart"/>
                  <w:noWrap w:val="0"/>
                  <w:vAlign w:val="center"/>
                </w:tcPr>
                <w:p>
                  <w:pPr>
                    <w:spacing w:line="240" w:lineRule="auto"/>
                    <w:jc w:val="center"/>
                    <w:rPr>
                      <w:b/>
                      <w:bCs/>
                      <w:color w:val="auto"/>
                      <w:szCs w:val="21"/>
                    </w:rPr>
                  </w:pPr>
                  <w:r>
                    <w:rPr>
                      <w:b/>
                      <w:bCs/>
                      <w:color w:val="auto"/>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vMerge w:val="continue"/>
                  <w:noWrap w:val="0"/>
                  <w:vAlign w:val="center"/>
                </w:tcPr>
                <w:p>
                  <w:pPr>
                    <w:spacing w:line="240" w:lineRule="auto"/>
                    <w:jc w:val="center"/>
                    <w:rPr>
                      <w:color w:val="auto"/>
                      <w:szCs w:val="21"/>
                      <w:highlight w:val="yellow"/>
                    </w:rPr>
                  </w:pPr>
                </w:p>
              </w:tc>
              <w:tc>
                <w:tcPr>
                  <w:tcW w:w="558" w:type="pct"/>
                  <w:noWrap w:val="0"/>
                  <w:vAlign w:val="center"/>
                </w:tcPr>
                <w:p>
                  <w:pPr>
                    <w:spacing w:line="240" w:lineRule="auto"/>
                    <w:jc w:val="center"/>
                    <w:rPr>
                      <w:b/>
                      <w:bCs/>
                      <w:color w:val="auto"/>
                      <w:szCs w:val="21"/>
                    </w:rPr>
                  </w:pPr>
                  <w:r>
                    <w:rPr>
                      <w:b/>
                      <w:bCs/>
                      <w:color w:val="auto"/>
                      <w:szCs w:val="21"/>
                    </w:rPr>
                    <w:t>经度</w:t>
                  </w:r>
                </w:p>
              </w:tc>
              <w:tc>
                <w:tcPr>
                  <w:tcW w:w="524" w:type="pct"/>
                  <w:noWrap w:val="0"/>
                  <w:vAlign w:val="center"/>
                </w:tcPr>
                <w:p>
                  <w:pPr>
                    <w:spacing w:line="240" w:lineRule="auto"/>
                    <w:jc w:val="center"/>
                    <w:rPr>
                      <w:b/>
                      <w:bCs/>
                      <w:color w:val="auto"/>
                      <w:szCs w:val="21"/>
                    </w:rPr>
                  </w:pPr>
                  <w:r>
                    <w:rPr>
                      <w:b/>
                      <w:bCs/>
                      <w:color w:val="auto"/>
                      <w:szCs w:val="21"/>
                    </w:rPr>
                    <w:t>纬度</w:t>
                  </w:r>
                </w:p>
              </w:tc>
              <w:tc>
                <w:tcPr>
                  <w:tcW w:w="901" w:type="pct"/>
                  <w:vMerge w:val="continue"/>
                  <w:noWrap w:val="0"/>
                  <w:vAlign w:val="center"/>
                </w:tcPr>
                <w:p>
                  <w:pPr>
                    <w:spacing w:line="240" w:lineRule="auto"/>
                    <w:jc w:val="center"/>
                    <w:rPr>
                      <w:b/>
                      <w:bCs/>
                      <w:color w:val="auto"/>
                      <w:szCs w:val="21"/>
                    </w:rPr>
                  </w:pPr>
                </w:p>
              </w:tc>
              <w:tc>
                <w:tcPr>
                  <w:tcW w:w="604" w:type="pct"/>
                  <w:vMerge w:val="continue"/>
                  <w:noWrap w:val="0"/>
                  <w:vAlign w:val="center"/>
                </w:tcPr>
                <w:p>
                  <w:pPr>
                    <w:spacing w:line="240" w:lineRule="auto"/>
                    <w:jc w:val="center"/>
                    <w:rPr>
                      <w:b/>
                      <w:bCs/>
                      <w:color w:val="auto"/>
                      <w:szCs w:val="21"/>
                    </w:rPr>
                  </w:pPr>
                </w:p>
              </w:tc>
              <w:tc>
                <w:tcPr>
                  <w:tcW w:w="614" w:type="pct"/>
                  <w:vMerge w:val="continue"/>
                  <w:noWrap w:val="0"/>
                  <w:vAlign w:val="center"/>
                </w:tcPr>
                <w:p>
                  <w:pPr>
                    <w:spacing w:line="240" w:lineRule="auto"/>
                    <w:jc w:val="center"/>
                    <w:rPr>
                      <w:b/>
                      <w:bCs/>
                      <w:color w:val="auto"/>
                      <w:szCs w:val="21"/>
                    </w:rPr>
                  </w:pPr>
                </w:p>
              </w:tc>
              <w:tc>
                <w:tcPr>
                  <w:tcW w:w="642" w:type="pct"/>
                  <w:vMerge w:val="continue"/>
                  <w:noWrap w:val="0"/>
                  <w:vAlign w:val="center"/>
                </w:tcPr>
                <w:p>
                  <w:pPr>
                    <w:spacing w:line="240" w:lineRule="auto"/>
                    <w:jc w:val="center"/>
                    <w:rPr>
                      <w:b/>
                      <w:bCs/>
                      <w:color w:val="auto"/>
                      <w:szCs w:val="21"/>
                    </w:rPr>
                  </w:pPr>
                </w:p>
              </w:tc>
              <w:tc>
                <w:tcPr>
                  <w:tcW w:w="737" w:type="pct"/>
                  <w:vMerge w:val="continue"/>
                  <w:noWrap w:val="0"/>
                  <w:vAlign w:val="center"/>
                </w:tcPr>
                <w:p>
                  <w:pPr>
                    <w:spacing w:line="240" w:lineRule="auto"/>
                    <w:jc w:val="center"/>
                    <w:rPr>
                      <w:b/>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vMerge w:val="restar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大气环境</w:t>
                  </w:r>
                </w:p>
              </w:tc>
              <w:tc>
                <w:tcPr>
                  <w:tcW w:w="558"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107°43′58.468″</w:t>
                  </w:r>
                </w:p>
              </w:tc>
              <w:tc>
                <w:tcPr>
                  <w:tcW w:w="524"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41°9′16.876″</w:t>
                  </w:r>
                </w:p>
              </w:tc>
              <w:tc>
                <w:tcPr>
                  <w:tcW w:w="901"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olor w:val="auto"/>
                      <w:kern w:val="2"/>
                      <w:sz w:val="21"/>
                      <w:szCs w:val="21"/>
                      <w:lang w:val="en-US" w:eastAsia="zh-CN" w:bidi="ar-SA"/>
                    </w:rPr>
                    <w:t>居民</w:t>
                  </w:r>
                </w:p>
              </w:tc>
              <w:tc>
                <w:tcPr>
                  <w:tcW w:w="604" w:type="pct"/>
                  <w:noWrap w:val="0"/>
                  <w:vAlign w:val="center"/>
                </w:tcPr>
                <w:p>
                  <w:pPr>
                    <w:spacing w:line="240" w:lineRule="auto"/>
                    <w:jc w:val="center"/>
                    <w:rPr>
                      <w:rFonts w:hint="default" w:ascii="Times New Roman" w:hAnsi="Times New Roman" w:eastAsia="宋体" w:cs="Times New Roman"/>
                      <w:color w:val="FF0000"/>
                      <w:kern w:val="2"/>
                      <w:sz w:val="21"/>
                      <w:szCs w:val="21"/>
                      <w:highlight w:val="none"/>
                      <w:lang w:val="en-US" w:eastAsia="zh-CN" w:bidi="ar-SA"/>
                    </w:rPr>
                  </w:pPr>
                  <w:r>
                    <w:rPr>
                      <w:rFonts w:hint="eastAsia"/>
                      <w:color w:val="FF0000"/>
                      <w:kern w:val="2"/>
                      <w:sz w:val="21"/>
                      <w:szCs w:val="21"/>
                      <w:highlight w:val="none"/>
                      <w:lang w:val="en-US" w:eastAsia="zh-CN" w:bidi="ar-SA"/>
                    </w:rPr>
                    <w:t>3人</w:t>
                  </w:r>
                </w:p>
              </w:tc>
              <w:tc>
                <w:tcPr>
                  <w:tcW w:w="614" w:type="pct"/>
                  <w:vMerge w:val="restart"/>
                  <w:noWrap w:val="0"/>
                  <w:vAlign w:val="center"/>
                </w:tcPr>
                <w:p>
                  <w:pPr>
                    <w:spacing w:line="240" w:lineRule="auto"/>
                    <w:jc w:val="center"/>
                    <w:rPr>
                      <w:color w:val="auto"/>
                      <w:szCs w:val="21"/>
                      <w:highlight w:val="yellow"/>
                    </w:rPr>
                  </w:pPr>
                  <w:r>
                    <w:rPr>
                      <w:rFonts w:hint="eastAsia"/>
                      <w:color w:val="auto"/>
                      <w:szCs w:val="21"/>
                      <w:lang w:val="en-US" w:eastAsia="zh-CN"/>
                    </w:rPr>
                    <w:t>二</w:t>
                  </w:r>
                  <w:r>
                    <w:rPr>
                      <w:color w:val="auto"/>
                      <w:szCs w:val="21"/>
                    </w:rPr>
                    <w:t>类区</w:t>
                  </w:r>
                </w:p>
              </w:tc>
              <w:tc>
                <w:tcPr>
                  <w:tcW w:w="642"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olor w:val="auto"/>
                      <w:kern w:val="2"/>
                      <w:sz w:val="21"/>
                      <w:szCs w:val="21"/>
                      <w:lang w:val="en-US" w:eastAsia="zh-CN" w:bidi="ar-SA"/>
                    </w:rPr>
                    <w:t>西北侧</w:t>
                  </w:r>
                </w:p>
              </w:tc>
              <w:tc>
                <w:tcPr>
                  <w:tcW w:w="737" w:type="pct"/>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kern w:val="2"/>
                      <w:sz w:val="21"/>
                      <w:szCs w:val="21"/>
                      <w:lang w:val="en-US" w:eastAsia="zh-CN" w:bidi="ar-SA"/>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p>
              </w:tc>
              <w:tc>
                <w:tcPr>
                  <w:tcW w:w="558"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107°43′50.801″</w:t>
                  </w:r>
                </w:p>
              </w:tc>
              <w:tc>
                <w:tcPr>
                  <w:tcW w:w="524"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41°9′14.037″</w:t>
                  </w:r>
                </w:p>
              </w:tc>
              <w:tc>
                <w:tcPr>
                  <w:tcW w:w="901" w:type="pct"/>
                  <w:noWrap w:val="0"/>
                  <w:vAlign w:val="center"/>
                </w:tcPr>
                <w:p>
                  <w:pPr>
                    <w:spacing w:line="240" w:lineRule="auto"/>
                    <w:jc w:val="center"/>
                    <w:rPr>
                      <w:rFonts w:hint="eastAsia"/>
                      <w:color w:val="auto"/>
                      <w:kern w:val="2"/>
                      <w:sz w:val="21"/>
                      <w:szCs w:val="21"/>
                      <w:lang w:val="en-US" w:eastAsia="zh-CN" w:bidi="ar-SA"/>
                    </w:rPr>
                  </w:pPr>
                  <w:r>
                    <w:rPr>
                      <w:rFonts w:hint="eastAsia"/>
                      <w:color w:val="auto"/>
                      <w:kern w:val="2"/>
                      <w:sz w:val="21"/>
                      <w:szCs w:val="21"/>
                      <w:lang w:val="en-US" w:eastAsia="zh-CN" w:bidi="ar-SA"/>
                    </w:rPr>
                    <w:t>居民</w:t>
                  </w:r>
                </w:p>
              </w:tc>
              <w:tc>
                <w:tcPr>
                  <w:tcW w:w="604" w:type="pct"/>
                  <w:noWrap w:val="0"/>
                  <w:vAlign w:val="center"/>
                </w:tcPr>
                <w:p>
                  <w:pPr>
                    <w:spacing w:line="240" w:lineRule="auto"/>
                    <w:jc w:val="center"/>
                    <w:rPr>
                      <w:rFonts w:hint="eastAsia"/>
                      <w:color w:val="FF0000"/>
                      <w:kern w:val="2"/>
                      <w:sz w:val="21"/>
                      <w:szCs w:val="21"/>
                      <w:highlight w:val="none"/>
                      <w:lang w:val="en-US" w:eastAsia="zh-CN" w:bidi="ar-SA"/>
                    </w:rPr>
                  </w:pPr>
                  <w:r>
                    <w:rPr>
                      <w:rFonts w:hint="eastAsia"/>
                      <w:color w:val="FF0000"/>
                      <w:kern w:val="2"/>
                      <w:sz w:val="21"/>
                      <w:szCs w:val="21"/>
                      <w:highlight w:val="none"/>
                      <w:lang w:val="en-US" w:eastAsia="zh-CN" w:bidi="ar-SA"/>
                    </w:rPr>
                    <w:t>9人</w:t>
                  </w:r>
                </w:p>
              </w:tc>
              <w:tc>
                <w:tcPr>
                  <w:tcW w:w="614" w:type="pct"/>
                  <w:vMerge w:val="continue"/>
                  <w:noWrap w:val="0"/>
                  <w:vAlign w:val="center"/>
                </w:tcPr>
                <w:p>
                  <w:pPr>
                    <w:spacing w:line="240" w:lineRule="auto"/>
                    <w:jc w:val="center"/>
                    <w:rPr>
                      <w:rFonts w:hint="eastAsia"/>
                      <w:color w:val="auto"/>
                      <w:szCs w:val="21"/>
                      <w:lang w:val="en-US" w:eastAsia="zh-CN"/>
                    </w:rPr>
                  </w:pPr>
                </w:p>
              </w:tc>
              <w:tc>
                <w:tcPr>
                  <w:tcW w:w="642" w:type="pct"/>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kern w:val="2"/>
                      <w:sz w:val="21"/>
                      <w:szCs w:val="21"/>
                      <w:lang w:val="en-US" w:eastAsia="zh-CN" w:bidi="ar-SA"/>
                    </w:rPr>
                    <w:t>西侧</w:t>
                  </w:r>
                </w:p>
              </w:tc>
              <w:tc>
                <w:tcPr>
                  <w:tcW w:w="737"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olor w:val="auto"/>
                      <w:kern w:val="2"/>
                      <w:sz w:val="21"/>
                      <w:szCs w:val="21"/>
                      <w:lang w:val="en-US" w:eastAsia="zh-CN" w:bidi="ar-SA"/>
                    </w:rPr>
                    <w:t>212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p>
              </w:tc>
              <w:tc>
                <w:tcPr>
                  <w:tcW w:w="558"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107°44′8.43</w:t>
                  </w:r>
                  <w:r>
                    <w:rPr>
                      <w:rFonts w:hint="eastAsia"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US" w:eastAsia="zh-CN" w:bidi="ar-SA"/>
                    </w:rPr>
                    <w:t>″</w:t>
                  </w:r>
                </w:p>
              </w:tc>
              <w:tc>
                <w:tcPr>
                  <w:tcW w:w="524"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41°9′0.268″</w:t>
                  </w:r>
                </w:p>
              </w:tc>
              <w:tc>
                <w:tcPr>
                  <w:tcW w:w="901" w:type="pct"/>
                  <w:noWrap w:val="0"/>
                  <w:vAlign w:val="center"/>
                </w:tcPr>
                <w:p>
                  <w:pPr>
                    <w:spacing w:line="240" w:lineRule="auto"/>
                    <w:jc w:val="center"/>
                    <w:rPr>
                      <w:color w:val="auto"/>
                      <w:szCs w:val="21"/>
                    </w:rPr>
                  </w:pPr>
                  <w:r>
                    <w:rPr>
                      <w:rFonts w:hint="eastAsia"/>
                      <w:color w:val="auto"/>
                      <w:kern w:val="2"/>
                      <w:sz w:val="21"/>
                      <w:szCs w:val="21"/>
                      <w:lang w:val="en-US" w:eastAsia="zh-CN" w:bidi="ar-SA"/>
                    </w:rPr>
                    <w:t>居民</w:t>
                  </w:r>
                </w:p>
              </w:tc>
              <w:tc>
                <w:tcPr>
                  <w:tcW w:w="604" w:type="pct"/>
                  <w:noWrap w:val="0"/>
                  <w:vAlign w:val="center"/>
                </w:tcPr>
                <w:p>
                  <w:pPr>
                    <w:spacing w:line="240" w:lineRule="auto"/>
                    <w:jc w:val="center"/>
                    <w:rPr>
                      <w:rFonts w:hint="default" w:eastAsia="宋体"/>
                      <w:color w:val="FF0000"/>
                      <w:szCs w:val="21"/>
                      <w:highlight w:val="none"/>
                      <w:lang w:val="en-US" w:eastAsia="zh-CN"/>
                    </w:rPr>
                  </w:pPr>
                  <w:r>
                    <w:rPr>
                      <w:rFonts w:hint="eastAsia"/>
                      <w:color w:val="FF0000"/>
                      <w:szCs w:val="21"/>
                      <w:highlight w:val="none"/>
                      <w:lang w:val="en-US" w:eastAsia="zh-CN"/>
                    </w:rPr>
                    <w:t>12人</w:t>
                  </w:r>
                </w:p>
              </w:tc>
              <w:tc>
                <w:tcPr>
                  <w:tcW w:w="614" w:type="pct"/>
                  <w:vMerge w:val="continue"/>
                  <w:noWrap w:val="0"/>
                  <w:vAlign w:val="center"/>
                </w:tcPr>
                <w:p>
                  <w:pPr>
                    <w:spacing w:line="240" w:lineRule="auto"/>
                    <w:jc w:val="center"/>
                    <w:rPr>
                      <w:color w:val="auto"/>
                      <w:szCs w:val="21"/>
                      <w:highlight w:val="yellow"/>
                    </w:rPr>
                  </w:pPr>
                </w:p>
              </w:tc>
              <w:tc>
                <w:tcPr>
                  <w:tcW w:w="642" w:type="pct"/>
                  <w:noWrap w:val="0"/>
                  <w:vAlign w:val="center"/>
                </w:tcPr>
                <w:p>
                  <w:pPr>
                    <w:spacing w:line="240" w:lineRule="auto"/>
                    <w:jc w:val="center"/>
                    <w:rPr>
                      <w:color w:val="auto"/>
                      <w:szCs w:val="21"/>
                    </w:rPr>
                  </w:pPr>
                  <w:r>
                    <w:rPr>
                      <w:rFonts w:hint="eastAsia"/>
                      <w:color w:val="auto"/>
                      <w:szCs w:val="21"/>
                      <w:lang w:val="en-US" w:eastAsia="zh-CN"/>
                    </w:rPr>
                    <w:t>东南</w:t>
                  </w:r>
                  <w:r>
                    <w:rPr>
                      <w:color w:val="auto"/>
                      <w:szCs w:val="21"/>
                    </w:rPr>
                    <w:t>侧</w:t>
                  </w:r>
                </w:p>
              </w:tc>
              <w:tc>
                <w:tcPr>
                  <w:tcW w:w="737" w:type="pct"/>
                  <w:noWrap w:val="0"/>
                  <w:vAlign w:val="center"/>
                </w:tcPr>
                <w:p>
                  <w:pPr>
                    <w:spacing w:line="240" w:lineRule="auto"/>
                    <w:jc w:val="center"/>
                    <w:rPr>
                      <w:rFonts w:hint="default" w:eastAsia="宋体"/>
                      <w:color w:val="auto"/>
                      <w:szCs w:val="21"/>
                      <w:lang w:val="en-US" w:eastAsia="zh-CN"/>
                    </w:rPr>
                  </w:pPr>
                  <w:r>
                    <w:rPr>
                      <w:rFonts w:hint="eastAsia"/>
                      <w:color w:val="auto"/>
                      <w:szCs w:val="21"/>
                      <w:lang w:val="en-US" w:eastAsia="zh-CN"/>
                    </w:rPr>
                    <w:t>378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p>
              </w:tc>
              <w:tc>
                <w:tcPr>
                  <w:tcW w:w="558"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107°43′56.59</w:t>
                  </w:r>
                  <w:r>
                    <w:rPr>
                      <w:rFonts w:hint="eastAsia" w:ascii="Times New Roman" w:hAnsi="Times New Roman" w:eastAsia="宋体" w:cs="Times New Roman"/>
                      <w:color w:val="auto"/>
                      <w:kern w:val="2"/>
                      <w:sz w:val="21"/>
                      <w:szCs w:val="21"/>
                      <w:lang w:val="en-US" w:eastAsia="zh-CN" w:bidi="ar-SA"/>
                    </w:rPr>
                    <w:t>5</w:t>
                  </w:r>
                  <w:r>
                    <w:rPr>
                      <w:rFonts w:hint="default" w:ascii="Times New Roman" w:hAnsi="Times New Roman" w:eastAsia="宋体" w:cs="Times New Roman"/>
                      <w:color w:val="auto"/>
                      <w:kern w:val="2"/>
                      <w:sz w:val="21"/>
                      <w:szCs w:val="21"/>
                      <w:lang w:val="en-US" w:eastAsia="zh-CN" w:bidi="ar-SA"/>
                    </w:rPr>
                    <w:t>″</w:t>
                  </w:r>
                </w:p>
              </w:tc>
              <w:tc>
                <w:tcPr>
                  <w:tcW w:w="524" w:type="pc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41°9′29.73</w:t>
                  </w:r>
                  <w:r>
                    <w:rPr>
                      <w:rFonts w:hint="eastAsia" w:ascii="Times New Roman" w:hAnsi="Times New Roman" w:eastAsia="宋体" w:cs="Times New Roman"/>
                      <w:color w:val="auto"/>
                      <w:kern w:val="2"/>
                      <w:sz w:val="21"/>
                      <w:szCs w:val="21"/>
                      <w:lang w:val="en-US" w:eastAsia="zh-CN" w:bidi="ar-SA"/>
                    </w:rPr>
                    <w:t>8</w:t>
                  </w:r>
                  <w:r>
                    <w:rPr>
                      <w:rFonts w:hint="default" w:ascii="Times New Roman" w:hAnsi="Times New Roman" w:eastAsia="宋体" w:cs="Times New Roman"/>
                      <w:color w:val="auto"/>
                      <w:kern w:val="2"/>
                      <w:sz w:val="21"/>
                      <w:szCs w:val="21"/>
                      <w:lang w:val="en-US" w:eastAsia="zh-CN" w:bidi="ar-SA"/>
                    </w:rPr>
                    <w:t>″</w:t>
                  </w:r>
                </w:p>
              </w:tc>
              <w:tc>
                <w:tcPr>
                  <w:tcW w:w="901" w:type="pct"/>
                  <w:noWrap w:val="0"/>
                  <w:vAlign w:val="center"/>
                </w:tcPr>
                <w:p>
                  <w:pPr>
                    <w:spacing w:line="240" w:lineRule="auto"/>
                    <w:jc w:val="center"/>
                    <w:rPr>
                      <w:color w:val="auto"/>
                      <w:szCs w:val="21"/>
                    </w:rPr>
                  </w:pPr>
                  <w:r>
                    <w:rPr>
                      <w:rFonts w:hint="eastAsia"/>
                      <w:color w:val="auto"/>
                      <w:kern w:val="2"/>
                      <w:sz w:val="21"/>
                      <w:szCs w:val="21"/>
                      <w:lang w:val="en-US" w:eastAsia="zh-CN" w:bidi="ar-SA"/>
                    </w:rPr>
                    <w:t>居民</w:t>
                  </w:r>
                </w:p>
              </w:tc>
              <w:tc>
                <w:tcPr>
                  <w:tcW w:w="604" w:type="pct"/>
                  <w:noWrap w:val="0"/>
                  <w:vAlign w:val="center"/>
                </w:tcPr>
                <w:p>
                  <w:pPr>
                    <w:spacing w:line="240" w:lineRule="auto"/>
                    <w:jc w:val="center"/>
                    <w:rPr>
                      <w:color w:val="FF0000"/>
                      <w:szCs w:val="21"/>
                      <w:highlight w:val="none"/>
                    </w:rPr>
                  </w:pPr>
                  <w:r>
                    <w:rPr>
                      <w:rFonts w:hint="eastAsia"/>
                      <w:color w:val="FF0000"/>
                      <w:szCs w:val="21"/>
                      <w:highlight w:val="none"/>
                      <w:lang w:val="en-US" w:eastAsia="zh-CN"/>
                    </w:rPr>
                    <w:t>27</w:t>
                  </w:r>
                  <w:r>
                    <w:rPr>
                      <w:color w:val="FF0000"/>
                      <w:szCs w:val="21"/>
                      <w:highlight w:val="none"/>
                    </w:rPr>
                    <w:t>人</w:t>
                  </w:r>
                </w:p>
              </w:tc>
              <w:tc>
                <w:tcPr>
                  <w:tcW w:w="614" w:type="pct"/>
                  <w:vMerge w:val="continue"/>
                  <w:noWrap w:val="0"/>
                  <w:vAlign w:val="center"/>
                </w:tcPr>
                <w:p>
                  <w:pPr>
                    <w:spacing w:line="240" w:lineRule="auto"/>
                    <w:jc w:val="center"/>
                    <w:rPr>
                      <w:color w:val="auto"/>
                      <w:szCs w:val="21"/>
                      <w:highlight w:val="yellow"/>
                    </w:rPr>
                  </w:pPr>
                </w:p>
              </w:tc>
              <w:tc>
                <w:tcPr>
                  <w:tcW w:w="642" w:type="pct"/>
                  <w:noWrap w:val="0"/>
                  <w:vAlign w:val="center"/>
                </w:tcPr>
                <w:p>
                  <w:pPr>
                    <w:spacing w:line="240" w:lineRule="auto"/>
                    <w:jc w:val="center"/>
                    <w:rPr>
                      <w:color w:val="auto"/>
                      <w:szCs w:val="21"/>
                    </w:rPr>
                  </w:pPr>
                  <w:r>
                    <w:rPr>
                      <w:rFonts w:hint="eastAsia"/>
                      <w:color w:val="auto"/>
                      <w:szCs w:val="21"/>
                      <w:lang w:val="en-US" w:eastAsia="zh-CN"/>
                    </w:rPr>
                    <w:t>北</w:t>
                  </w:r>
                  <w:r>
                    <w:rPr>
                      <w:color w:val="auto"/>
                      <w:szCs w:val="21"/>
                    </w:rPr>
                    <w:t>侧</w:t>
                  </w:r>
                </w:p>
              </w:tc>
              <w:tc>
                <w:tcPr>
                  <w:tcW w:w="737" w:type="pct"/>
                  <w:noWrap w:val="0"/>
                  <w:vAlign w:val="center"/>
                </w:tcPr>
                <w:p>
                  <w:pPr>
                    <w:spacing w:line="240" w:lineRule="auto"/>
                    <w:jc w:val="center"/>
                    <w:rPr>
                      <w:rFonts w:hint="default" w:eastAsia="宋体"/>
                      <w:color w:val="auto"/>
                      <w:szCs w:val="21"/>
                      <w:highlight w:val="yellow"/>
                      <w:lang w:val="en-US" w:eastAsia="zh-CN"/>
                    </w:rPr>
                  </w:pPr>
                  <w:r>
                    <w:rPr>
                      <w:rFonts w:hint="eastAsia"/>
                      <w:color w:val="auto"/>
                      <w:szCs w:val="21"/>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pct"/>
                  <w:noWrap w:val="0"/>
                  <w:vAlign w:val="center"/>
                </w:tcPr>
                <w:p>
                  <w:pPr>
                    <w:spacing w:line="240" w:lineRule="auto"/>
                    <w:jc w:val="center"/>
                    <w:rPr>
                      <w:rFonts w:hint="default" w:ascii="Times New Roman" w:hAnsi="Times New Roman" w:cs="Times New Roman"/>
                      <w:color w:val="auto"/>
                      <w:szCs w:val="21"/>
                      <w:highlight w:val="yellow"/>
                    </w:rPr>
                  </w:pPr>
                  <w:r>
                    <w:rPr>
                      <w:rFonts w:hint="default" w:ascii="Times New Roman" w:hAnsi="Times New Roman" w:cs="Times New Roman"/>
                      <w:color w:val="auto"/>
                      <w:sz w:val="21"/>
                      <w:szCs w:val="21"/>
                    </w:rPr>
                    <w:t>声环境</w:t>
                  </w:r>
                </w:p>
              </w:tc>
              <w:tc>
                <w:tcPr>
                  <w:tcW w:w="558" w:type="pct"/>
                  <w:noWrap w:val="0"/>
                  <w:vAlign w:val="center"/>
                </w:tcPr>
                <w:p>
                  <w:pPr>
                    <w:adjustRightInd w:val="0"/>
                    <w:snapToGrid w:val="0"/>
                    <w:spacing w:line="240" w:lineRule="auto"/>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107°43′58.468″</w:t>
                  </w:r>
                </w:p>
              </w:tc>
              <w:tc>
                <w:tcPr>
                  <w:tcW w:w="524" w:type="pct"/>
                  <w:noWrap w:val="0"/>
                  <w:vAlign w:val="center"/>
                </w:tcPr>
                <w:p>
                  <w:pPr>
                    <w:adjustRightInd w:val="0"/>
                    <w:snapToGrid w:val="0"/>
                    <w:spacing w:line="240" w:lineRule="auto"/>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41°9′16.876″</w:t>
                  </w:r>
                </w:p>
              </w:tc>
              <w:tc>
                <w:tcPr>
                  <w:tcW w:w="901" w:type="pct"/>
                  <w:noWrap w:val="0"/>
                  <w:vAlign w:val="center"/>
                </w:tcPr>
                <w:p>
                  <w:pPr>
                    <w:spacing w:line="240" w:lineRule="auto"/>
                    <w:jc w:val="center"/>
                    <w:rPr>
                      <w:rFonts w:hint="default"/>
                      <w:color w:val="auto"/>
                      <w:kern w:val="2"/>
                      <w:sz w:val="21"/>
                      <w:szCs w:val="21"/>
                      <w:lang w:val="en-US" w:eastAsia="zh-CN" w:bidi="ar-SA"/>
                    </w:rPr>
                  </w:pPr>
                  <w:r>
                    <w:rPr>
                      <w:rFonts w:hint="eastAsia"/>
                      <w:color w:val="auto"/>
                      <w:kern w:val="2"/>
                      <w:sz w:val="21"/>
                      <w:szCs w:val="21"/>
                      <w:lang w:val="en-US" w:eastAsia="zh-CN" w:bidi="ar-SA"/>
                    </w:rPr>
                    <w:t>居民</w:t>
                  </w:r>
                </w:p>
              </w:tc>
              <w:tc>
                <w:tcPr>
                  <w:tcW w:w="604" w:type="pct"/>
                  <w:noWrap w:val="0"/>
                  <w:vAlign w:val="center"/>
                </w:tcPr>
                <w:p>
                  <w:pPr>
                    <w:spacing w:line="240" w:lineRule="auto"/>
                    <w:jc w:val="center"/>
                    <w:rPr>
                      <w:rFonts w:hint="default"/>
                      <w:color w:val="FF0000"/>
                      <w:kern w:val="2"/>
                      <w:sz w:val="21"/>
                      <w:szCs w:val="21"/>
                      <w:highlight w:val="none"/>
                      <w:lang w:val="en-US" w:eastAsia="zh-CN" w:bidi="ar-SA"/>
                    </w:rPr>
                  </w:pPr>
                  <w:r>
                    <w:rPr>
                      <w:rFonts w:hint="eastAsia"/>
                      <w:color w:val="FF0000"/>
                      <w:kern w:val="2"/>
                      <w:sz w:val="21"/>
                      <w:szCs w:val="21"/>
                      <w:highlight w:val="none"/>
                      <w:lang w:val="en-US" w:eastAsia="zh-CN" w:bidi="ar-SA"/>
                    </w:rPr>
                    <w:t>3人</w:t>
                  </w:r>
                </w:p>
              </w:tc>
              <w:tc>
                <w:tcPr>
                  <w:tcW w:w="614" w:type="pct"/>
                  <w:noWrap w:val="0"/>
                  <w:vAlign w:val="center"/>
                </w:tcPr>
                <w:p>
                  <w:pPr>
                    <w:spacing w:line="240" w:lineRule="auto"/>
                    <w:jc w:val="center"/>
                    <w:rPr>
                      <w:color w:val="auto"/>
                      <w:szCs w:val="21"/>
                      <w:highlight w:val="yellow"/>
                    </w:rPr>
                  </w:pPr>
                  <w:r>
                    <w:rPr>
                      <w:color w:val="auto"/>
                      <w:sz w:val="21"/>
                      <w:szCs w:val="21"/>
                    </w:rPr>
                    <w:t>2类区</w:t>
                  </w:r>
                </w:p>
              </w:tc>
              <w:tc>
                <w:tcPr>
                  <w:tcW w:w="642" w:type="pct"/>
                  <w:noWrap w:val="0"/>
                  <w:vAlign w:val="center"/>
                </w:tcPr>
                <w:p>
                  <w:pPr>
                    <w:spacing w:line="240" w:lineRule="auto"/>
                    <w:jc w:val="center"/>
                    <w:rPr>
                      <w:rFonts w:hint="default"/>
                      <w:color w:val="auto"/>
                      <w:kern w:val="2"/>
                      <w:sz w:val="21"/>
                      <w:szCs w:val="21"/>
                      <w:lang w:val="en-US" w:eastAsia="zh-CN" w:bidi="ar-SA"/>
                    </w:rPr>
                  </w:pPr>
                  <w:r>
                    <w:rPr>
                      <w:rFonts w:hint="eastAsia"/>
                      <w:color w:val="auto"/>
                      <w:kern w:val="2"/>
                      <w:sz w:val="21"/>
                      <w:szCs w:val="21"/>
                      <w:lang w:val="en-US" w:eastAsia="zh-CN" w:bidi="ar-SA"/>
                    </w:rPr>
                    <w:t>西北侧</w:t>
                  </w:r>
                </w:p>
              </w:tc>
              <w:tc>
                <w:tcPr>
                  <w:tcW w:w="737" w:type="pct"/>
                  <w:noWrap w:val="0"/>
                  <w:vAlign w:val="center"/>
                </w:tcPr>
                <w:p>
                  <w:pPr>
                    <w:spacing w:line="240" w:lineRule="auto"/>
                    <w:jc w:val="center"/>
                    <w:rPr>
                      <w:rFonts w:hint="default"/>
                      <w:color w:val="auto"/>
                      <w:kern w:val="2"/>
                      <w:sz w:val="21"/>
                      <w:szCs w:val="21"/>
                      <w:lang w:val="en-US" w:eastAsia="zh-CN" w:bidi="ar-SA"/>
                    </w:rPr>
                  </w:pPr>
                  <w:r>
                    <w:rPr>
                      <w:rFonts w:hint="eastAsia"/>
                      <w:color w:val="auto"/>
                      <w:kern w:val="2"/>
                      <w:sz w:val="21"/>
                      <w:szCs w:val="21"/>
                      <w:lang w:val="en-US" w:eastAsia="zh-CN" w:bidi="ar-SA"/>
                    </w:rPr>
                    <w:t>37</w:t>
                  </w:r>
                </w:p>
              </w:tc>
            </w:tr>
          </w:tbl>
          <w:p>
            <w:pPr>
              <w:pStyle w:val="10"/>
              <w:spacing w:before="0" w:after="0" w:line="240" w:lineRule="auto"/>
              <w:ind w:right="0"/>
              <w:rPr>
                <w:color w:val="auto"/>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dxa"/>
            <w:noWrap w:val="0"/>
            <w:tcMar>
              <w:left w:w="28" w:type="dxa"/>
              <w:right w:w="28" w:type="dxa"/>
            </w:tcMar>
            <w:vAlign w:val="center"/>
          </w:tcPr>
          <w:p>
            <w:pPr>
              <w:adjustRightInd w:val="0"/>
              <w:snapToGrid w:val="0"/>
              <w:jc w:val="center"/>
              <w:rPr>
                <w:color w:val="auto"/>
                <w:kern w:val="0"/>
                <w:sz w:val="24"/>
              </w:rPr>
            </w:pPr>
            <w:r>
              <w:rPr>
                <w:color w:val="auto"/>
                <w:kern w:val="0"/>
                <w:sz w:val="24"/>
              </w:rPr>
              <w:t>污染</w:t>
            </w:r>
          </w:p>
          <w:p>
            <w:pPr>
              <w:adjustRightInd w:val="0"/>
              <w:snapToGrid w:val="0"/>
              <w:jc w:val="center"/>
              <w:rPr>
                <w:color w:val="auto"/>
                <w:kern w:val="0"/>
                <w:sz w:val="24"/>
              </w:rPr>
            </w:pPr>
            <w:r>
              <w:rPr>
                <w:color w:val="auto"/>
                <w:kern w:val="0"/>
                <w:sz w:val="24"/>
              </w:rPr>
              <w:t>物排</w:t>
            </w:r>
          </w:p>
          <w:p>
            <w:pPr>
              <w:adjustRightInd w:val="0"/>
              <w:snapToGrid w:val="0"/>
              <w:jc w:val="center"/>
              <w:rPr>
                <w:color w:val="auto"/>
                <w:kern w:val="0"/>
                <w:sz w:val="24"/>
              </w:rPr>
            </w:pPr>
            <w:r>
              <w:rPr>
                <w:color w:val="auto"/>
                <w:kern w:val="0"/>
                <w:sz w:val="24"/>
              </w:rPr>
              <w:t>放控</w:t>
            </w:r>
          </w:p>
          <w:p>
            <w:pPr>
              <w:adjustRightInd w:val="0"/>
              <w:snapToGrid w:val="0"/>
              <w:jc w:val="center"/>
              <w:rPr>
                <w:color w:val="auto"/>
                <w:kern w:val="0"/>
                <w:sz w:val="24"/>
              </w:rPr>
            </w:pPr>
            <w:r>
              <w:rPr>
                <w:color w:val="auto"/>
                <w:kern w:val="0"/>
                <w:sz w:val="24"/>
              </w:rPr>
              <w:t>制标</w:t>
            </w:r>
          </w:p>
          <w:p>
            <w:pPr>
              <w:adjustRightInd w:val="0"/>
              <w:snapToGrid w:val="0"/>
              <w:jc w:val="center"/>
              <w:rPr>
                <w:color w:val="auto"/>
                <w:kern w:val="0"/>
                <w:sz w:val="24"/>
              </w:rPr>
            </w:pPr>
            <w:r>
              <w:rPr>
                <w:color w:val="auto"/>
                <w:kern w:val="0"/>
                <w:sz w:val="24"/>
              </w:rPr>
              <w:t>准</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Ansi="Times New Roman" w:cs="Times New Roman"/>
                <w:b/>
                <w:snapToGrid w:val="0"/>
                <w:color w:val="auto"/>
                <w:kern w:val="0"/>
                <w:szCs w:val="24"/>
              </w:rPr>
            </w:pPr>
            <w:r>
              <w:rPr>
                <w:rFonts w:hAnsi="Times New Roman" w:cs="Times New Roman"/>
                <w:b/>
                <w:snapToGrid w:val="0"/>
                <w:color w:val="auto"/>
                <w:kern w:val="0"/>
                <w:szCs w:val="24"/>
              </w:rPr>
              <w:t>1、大气污染物排放标准</w:t>
            </w:r>
          </w:p>
          <w:p>
            <w:pPr>
              <w:pStyle w:val="9"/>
              <w:ind w:firstLine="480" w:firstLineChars="200"/>
              <w:jc w:val="both"/>
              <w:rPr>
                <w:rFonts w:hint="eastAsia"/>
                <w:color w:val="auto"/>
                <w:szCs w:val="24"/>
              </w:rPr>
            </w:pPr>
            <w:r>
              <w:rPr>
                <w:rFonts w:hint="eastAsia"/>
                <w:color w:val="auto"/>
                <w:szCs w:val="24"/>
              </w:rPr>
              <w:t>本项目施工期产生的废气污染物和运行期厂界废气污染物主要是颗粒物，排放执行《大气污染物综合排放标准》（GB16297-1996）表2新污染源无组织排放限值，标准限值见表3-</w:t>
            </w:r>
            <w:r>
              <w:rPr>
                <w:rFonts w:hint="eastAsia"/>
                <w:color w:val="auto"/>
                <w:szCs w:val="24"/>
                <w:lang w:val="en-US" w:eastAsia="zh-CN"/>
              </w:rPr>
              <w:t>7</w:t>
            </w:r>
            <w:r>
              <w:rPr>
                <w:rFonts w:hint="eastAsia"/>
                <w:color w:val="auto"/>
                <w:szCs w:val="24"/>
              </w:rPr>
              <w:t>。</w:t>
            </w:r>
          </w:p>
          <w:p>
            <w:pPr>
              <w:pStyle w:val="38"/>
              <w:bidi w:val="0"/>
              <w:rPr>
                <w:rFonts w:hint="default"/>
                <w:color w:val="auto"/>
              </w:rPr>
            </w:pPr>
            <w:r>
              <w:rPr>
                <w:rFonts w:hint="default"/>
                <w:color w:val="auto"/>
                <w:sz w:val="24"/>
                <w:szCs w:val="24"/>
              </w:rPr>
              <w:t>表</w:t>
            </w:r>
            <w:r>
              <w:rPr>
                <w:rFonts w:hint="default"/>
                <w:color w:val="auto"/>
                <w:sz w:val="24"/>
                <w:szCs w:val="24"/>
                <w:lang w:val="en-US" w:eastAsia="zh-CN"/>
              </w:rPr>
              <w:t>3</w:t>
            </w:r>
            <w:r>
              <w:rPr>
                <w:rFonts w:hint="eastAsia"/>
                <w:color w:val="auto"/>
                <w:sz w:val="24"/>
                <w:szCs w:val="24"/>
                <w:lang w:val="en-US" w:eastAsia="zh-CN"/>
              </w:rPr>
              <w:t>-7</w:t>
            </w:r>
            <w:r>
              <w:rPr>
                <w:rFonts w:hint="default"/>
                <w:color w:val="auto"/>
                <w:sz w:val="24"/>
                <w:szCs w:val="24"/>
              </w:rPr>
              <w:t xml:space="preserve"> 《大气污染物综合排放标准》（GB16297-1996）</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414"/>
              <w:gridCol w:w="2416"/>
              <w:gridCol w:w="3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23" w:hRule="atLeast"/>
                <w:jc w:val="center"/>
              </w:trPr>
              <w:tc>
                <w:tcPr>
                  <w:tcW w:w="1500" w:type="pct"/>
                  <w:vMerge w:val="restart"/>
                  <w:noWrap w:val="0"/>
                  <w:vAlign w:val="center"/>
                </w:tcPr>
                <w:p>
                  <w:pPr>
                    <w:pStyle w:val="39"/>
                    <w:bidi w:val="0"/>
                    <w:rPr>
                      <w:rFonts w:hint="default"/>
                      <w:b/>
                      <w:bCs/>
                      <w:color w:val="auto"/>
                    </w:rPr>
                  </w:pPr>
                  <w:r>
                    <w:rPr>
                      <w:rFonts w:hint="default"/>
                      <w:b/>
                      <w:bCs/>
                      <w:color w:val="auto"/>
                    </w:rPr>
                    <w:t>污染物</w:t>
                  </w:r>
                </w:p>
              </w:tc>
              <w:tc>
                <w:tcPr>
                  <w:tcW w:w="3499" w:type="pct"/>
                  <w:gridSpan w:val="2"/>
                  <w:noWrap w:val="0"/>
                  <w:vAlign w:val="center"/>
                </w:tcPr>
                <w:p>
                  <w:pPr>
                    <w:pStyle w:val="39"/>
                    <w:bidi w:val="0"/>
                    <w:rPr>
                      <w:rFonts w:hint="default"/>
                      <w:b/>
                      <w:bCs/>
                      <w:color w:val="auto"/>
                    </w:rPr>
                  </w:pPr>
                  <w:r>
                    <w:rPr>
                      <w:rFonts w:hint="default"/>
                      <w:b/>
                      <w:bCs/>
                      <w:color w:val="auto"/>
                    </w:rPr>
                    <w:t>无组织排放监控浓度值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1500" w:type="pct"/>
                  <w:vMerge w:val="continue"/>
                  <w:noWrap w:val="0"/>
                  <w:vAlign w:val="center"/>
                </w:tcPr>
                <w:p>
                  <w:pPr>
                    <w:pStyle w:val="39"/>
                    <w:bidi w:val="0"/>
                    <w:rPr>
                      <w:rFonts w:hint="default"/>
                      <w:b/>
                      <w:bCs/>
                      <w:color w:val="auto"/>
                    </w:rPr>
                  </w:pPr>
                </w:p>
              </w:tc>
              <w:tc>
                <w:tcPr>
                  <w:tcW w:w="1501" w:type="pct"/>
                  <w:noWrap w:val="0"/>
                  <w:vAlign w:val="center"/>
                </w:tcPr>
                <w:p>
                  <w:pPr>
                    <w:pStyle w:val="39"/>
                    <w:bidi w:val="0"/>
                    <w:rPr>
                      <w:rFonts w:hint="default"/>
                      <w:b/>
                      <w:bCs/>
                      <w:color w:val="auto"/>
                      <w:lang w:val="en-US" w:eastAsia="zh-CN"/>
                    </w:rPr>
                  </w:pPr>
                  <w:r>
                    <w:rPr>
                      <w:rFonts w:hint="default"/>
                      <w:b/>
                      <w:bCs/>
                      <w:color w:val="auto"/>
                    </w:rPr>
                    <w:t>监控点</w:t>
                  </w:r>
                </w:p>
              </w:tc>
              <w:tc>
                <w:tcPr>
                  <w:tcW w:w="1997" w:type="pct"/>
                  <w:noWrap w:val="0"/>
                  <w:vAlign w:val="center"/>
                </w:tcPr>
                <w:p>
                  <w:pPr>
                    <w:pStyle w:val="39"/>
                    <w:bidi w:val="0"/>
                    <w:rPr>
                      <w:rFonts w:hint="default"/>
                      <w:b/>
                      <w:bCs/>
                      <w:color w:val="auto"/>
                      <w:lang w:val="en-US" w:eastAsia="zh-CN"/>
                    </w:rPr>
                  </w:pPr>
                  <w:r>
                    <w:rPr>
                      <w:rFonts w:hint="default"/>
                      <w:b/>
                      <w:bCs/>
                      <w:color w:val="auto"/>
                    </w:rPr>
                    <w:t>浓度(mg/m</w:t>
                  </w:r>
                  <w:r>
                    <w:rPr>
                      <w:rFonts w:hint="default"/>
                      <w:b/>
                      <w:bCs/>
                      <w:color w:val="auto"/>
                      <w:vertAlign w:val="superscript"/>
                    </w:rPr>
                    <w:t>3</w:t>
                  </w:r>
                  <w:r>
                    <w:rPr>
                      <w:rFonts w:hint="default"/>
                      <w:b/>
                      <w:bCs/>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1500" w:type="pct"/>
                  <w:noWrap w:val="0"/>
                  <w:vAlign w:val="center"/>
                </w:tcPr>
                <w:p>
                  <w:pPr>
                    <w:pStyle w:val="39"/>
                    <w:bidi w:val="0"/>
                    <w:rPr>
                      <w:rFonts w:hint="default"/>
                      <w:color w:val="auto"/>
                      <w:lang w:eastAsia="zh-CN"/>
                    </w:rPr>
                  </w:pPr>
                  <w:r>
                    <w:rPr>
                      <w:rFonts w:hint="default"/>
                      <w:color w:val="auto"/>
                      <w:lang w:eastAsia="zh-CN"/>
                    </w:rPr>
                    <w:t>颗粒物</w:t>
                  </w:r>
                </w:p>
              </w:tc>
              <w:tc>
                <w:tcPr>
                  <w:tcW w:w="1501" w:type="pct"/>
                  <w:noWrap w:val="0"/>
                  <w:vAlign w:val="center"/>
                </w:tcPr>
                <w:p>
                  <w:pPr>
                    <w:pStyle w:val="39"/>
                    <w:bidi w:val="0"/>
                    <w:rPr>
                      <w:rFonts w:hint="default"/>
                      <w:color w:val="auto"/>
                      <w:lang w:val="en-US" w:eastAsia="zh-CN"/>
                    </w:rPr>
                  </w:pPr>
                  <w:r>
                    <w:rPr>
                      <w:rFonts w:hint="default"/>
                      <w:color w:val="auto"/>
                    </w:rPr>
                    <w:t>周界外浓度最高点</w:t>
                  </w:r>
                </w:p>
              </w:tc>
              <w:tc>
                <w:tcPr>
                  <w:tcW w:w="1997" w:type="pct"/>
                  <w:noWrap w:val="0"/>
                  <w:vAlign w:val="center"/>
                </w:tcPr>
                <w:p>
                  <w:pPr>
                    <w:pStyle w:val="39"/>
                    <w:bidi w:val="0"/>
                    <w:rPr>
                      <w:rFonts w:hint="default"/>
                      <w:color w:val="auto"/>
                      <w:lang w:val="en-US" w:eastAsia="zh-CN"/>
                    </w:rPr>
                  </w:pPr>
                  <w:r>
                    <w:rPr>
                      <w:rFonts w:hint="default"/>
                      <w:color w:val="auto"/>
                      <w:lang w:val="en-US" w:eastAsia="zh-CN"/>
                    </w:rPr>
                    <w:t>1</w:t>
                  </w:r>
                  <w:r>
                    <w:rPr>
                      <w:rFonts w:hint="default"/>
                      <w:color w:val="auto"/>
                    </w:rPr>
                    <w:t>.0</w:t>
                  </w:r>
                </w:p>
              </w:tc>
            </w:tr>
          </w:tbl>
          <w:p>
            <w:pPr>
              <w:pStyle w:val="9"/>
              <w:keepNext w:val="0"/>
              <w:keepLines w:val="0"/>
              <w:pageBreakBefore w:val="0"/>
              <w:widowControl w:val="0"/>
              <w:kinsoku/>
              <w:wordWrap/>
              <w:overflowPunct/>
              <w:topLinePunct w:val="0"/>
              <w:autoSpaceDE/>
              <w:autoSpaceDN/>
              <w:bidi w:val="0"/>
              <w:adjustRightInd/>
              <w:snapToGrid/>
              <w:spacing w:before="157" w:beforeLines="50"/>
              <w:ind w:firstLine="480" w:firstLineChars="200"/>
              <w:jc w:val="both"/>
              <w:textAlignment w:val="auto"/>
              <w:rPr>
                <w:rFonts w:hint="eastAsia"/>
                <w:color w:val="FF0000"/>
                <w:szCs w:val="24"/>
                <w:highlight w:val="none"/>
              </w:rPr>
            </w:pPr>
            <w:r>
              <w:rPr>
                <w:rFonts w:hint="eastAsia"/>
                <w:color w:val="FF0000"/>
                <w:szCs w:val="24"/>
                <w:highlight w:val="none"/>
              </w:rPr>
              <w:t>本项目</w:t>
            </w:r>
            <w:r>
              <w:rPr>
                <w:rFonts w:hint="eastAsia"/>
                <w:color w:val="FF0000"/>
                <w:szCs w:val="24"/>
                <w:highlight w:val="none"/>
                <w:lang w:val="en-US" w:eastAsia="zh-CN"/>
              </w:rPr>
              <w:t>运营期</w:t>
            </w:r>
            <w:r>
              <w:rPr>
                <w:rFonts w:hint="eastAsia"/>
                <w:color w:val="FF0000"/>
                <w:szCs w:val="24"/>
                <w:highlight w:val="none"/>
              </w:rPr>
              <w:t>多味瓜子烘干</w:t>
            </w:r>
            <w:r>
              <w:rPr>
                <w:rFonts w:hint="eastAsia"/>
                <w:color w:val="FF0000"/>
                <w:szCs w:val="24"/>
                <w:highlight w:val="none"/>
                <w:lang w:val="en-US" w:eastAsia="zh-CN"/>
              </w:rPr>
              <w:t>工序生物质热风炉生物质燃料燃烧产生的燃烧废气应执行《工业炉窑大气污染物排放标准》（GB9078-1996）非金属加热炉二级标准限值，氮氧化物排放应执行《大气污染物综合排放标准》（GB16297-1996）表2新污染源二级标准。</w:t>
            </w:r>
            <w:r>
              <w:rPr>
                <w:rFonts w:hint="eastAsia"/>
                <w:color w:val="FF0000"/>
                <w:szCs w:val="24"/>
                <w:highlight w:val="none"/>
              </w:rPr>
              <w:t>多味瓜子水煮</w:t>
            </w:r>
            <w:r>
              <w:rPr>
                <w:rFonts w:hint="eastAsia"/>
                <w:color w:val="FF0000"/>
                <w:szCs w:val="24"/>
                <w:highlight w:val="none"/>
                <w:lang w:val="en-US" w:eastAsia="zh-CN"/>
              </w:rPr>
              <w:t>工序</w:t>
            </w:r>
            <w:r>
              <w:rPr>
                <w:rFonts w:hint="eastAsia"/>
                <w:color w:val="FF0000"/>
                <w:szCs w:val="24"/>
                <w:highlight w:val="none"/>
              </w:rPr>
              <w:t>、原味瓜子炒制工序生物质燃料燃烧产生的燃烧废气</w:t>
            </w:r>
            <w:r>
              <w:rPr>
                <w:rFonts w:hint="eastAsia"/>
                <w:color w:val="FF0000"/>
                <w:szCs w:val="24"/>
                <w:highlight w:val="none"/>
                <w:lang w:val="en-US" w:eastAsia="zh-CN"/>
              </w:rPr>
              <w:t>执行《大气污染物综合排放标准》（GB16297-1996）表2新污染源二级标准</w:t>
            </w:r>
            <w:r>
              <w:rPr>
                <w:rFonts w:hint="eastAsia"/>
                <w:color w:val="FF0000"/>
                <w:szCs w:val="24"/>
                <w:highlight w:val="none"/>
              </w:rPr>
              <w:t>。</w:t>
            </w:r>
          </w:p>
          <w:p>
            <w:pPr>
              <w:pStyle w:val="9"/>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eastAsia"/>
                <w:color w:val="FF0000"/>
                <w:szCs w:val="24"/>
                <w:highlight w:val="none"/>
              </w:rPr>
            </w:pPr>
            <w:r>
              <w:rPr>
                <w:rFonts w:hint="eastAsia"/>
                <w:color w:val="FF0000"/>
                <w:szCs w:val="24"/>
                <w:highlight w:val="none"/>
              </w:rPr>
              <w:t>项目</w:t>
            </w:r>
            <w:r>
              <w:rPr>
                <w:rFonts w:hint="eastAsia"/>
                <w:color w:val="FF0000"/>
                <w:szCs w:val="24"/>
                <w:highlight w:val="none"/>
                <w:lang w:val="en-US" w:eastAsia="zh-CN"/>
              </w:rPr>
              <w:t>运营期</w:t>
            </w:r>
            <w:r>
              <w:rPr>
                <w:rFonts w:hint="eastAsia"/>
                <w:color w:val="FF0000"/>
                <w:highlight w:val="none"/>
                <w:lang w:val="en-US" w:eastAsia="zh-CN"/>
              </w:rPr>
              <w:t>各工序</w:t>
            </w:r>
            <w:r>
              <w:rPr>
                <w:rFonts w:hint="eastAsia"/>
                <w:color w:val="FF0000"/>
                <w:szCs w:val="24"/>
                <w:highlight w:val="none"/>
                <w:lang w:val="en-US" w:eastAsia="zh-CN"/>
              </w:rPr>
              <w:t>生物质燃料燃烧产生的</w:t>
            </w:r>
            <w:r>
              <w:rPr>
                <w:rFonts w:hint="eastAsia" w:ascii="Times New Roman" w:hAnsi="Times New Roman" w:eastAsia="宋体" w:cs="Times New Roman"/>
                <w:color w:val="FF0000"/>
                <w:sz w:val="24"/>
                <w:szCs w:val="24"/>
                <w:highlight w:val="none"/>
              </w:rPr>
              <w:t>燃烧废气经排气管道收集后进入布袋除尘器处理，最终由1根15m高排气筒达标排放</w:t>
            </w:r>
            <w:r>
              <w:rPr>
                <w:rFonts w:hint="eastAsia" w:cs="Times New Roman"/>
                <w:color w:val="FF0000"/>
                <w:sz w:val="24"/>
                <w:szCs w:val="24"/>
                <w:highlight w:val="none"/>
                <w:lang w:eastAsia="zh-CN"/>
              </w:rPr>
              <w:t>，污染物排放标准限值</w:t>
            </w:r>
            <w:r>
              <w:rPr>
                <w:rFonts w:hint="eastAsia" w:cs="Times New Roman"/>
                <w:color w:val="FF0000"/>
                <w:sz w:val="24"/>
                <w:szCs w:val="24"/>
                <w:highlight w:val="none"/>
                <w:lang w:val="en-US" w:eastAsia="zh-CN"/>
              </w:rPr>
              <w:t>两</w:t>
            </w:r>
            <w:r>
              <w:rPr>
                <w:rFonts w:hint="eastAsia" w:cs="Times New Roman"/>
                <w:color w:val="FF0000"/>
                <w:sz w:val="24"/>
                <w:szCs w:val="24"/>
                <w:highlight w:val="none"/>
                <w:lang w:eastAsia="zh-CN"/>
              </w:rPr>
              <w:t>者取其严，</w:t>
            </w:r>
            <w:r>
              <w:rPr>
                <w:rFonts w:hint="eastAsia" w:cs="Times New Roman"/>
                <w:color w:val="FF0000"/>
                <w:sz w:val="24"/>
                <w:szCs w:val="24"/>
                <w:highlight w:val="none"/>
                <w:lang w:val="en-US" w:eastAsia="zh-CN"/>
              </w:rPr>
              <w:t>故</w:t>
            </w:r>
            <w:r>
              <w:rPr>
                <w:rFonts w:hint="eastAsia"/>
                <w:color w:val="FF0000"/>
                <w:szCs w:val="24"/>
                <w:highlight w:val="none"/>
              </w:rPr>
              <w:t>执行《大气污染物综合排放标准》（GB16297-1996）表2新污染源二级标准。</w:t>
            </w:r>
          </w:p>
          <w:p>
            <w:pPr>
              <w:pStyle w:val="38"/>
              <w:bidi w:val="0"/>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表</w:t>
            </w:r>
            <w:r>
              <w:rPr>
                <w:rFonts w:hint="default" w:ascii="Times New Roman" w:hAnsi="Times New Roman" w:eastAsia="宋体" w:cs="Times New Roman"/>
                <w:color w:val="FF0000"/>
                <w:sz w:val="24"/>
                <w:szCs w:val="24"/>
                <w:lang w:val="en-US" w:eastAsia="zh-CN"/>
              </w:rPr>
              <w:t>3-</w:t>
            </w:r>
            <w:r>
              <w:rPr>
                <w:rFonts w:hint="eastAsia" w:cs="Times New Roman"/>
                <w:color w:val="FF0000"/>
                <w:sz w:val="24"/>
                <w:szCs w:val="24"/>
                <w:lang w:val="en-US" w:eastAsia="zh-CN"/>
              </w:rPr>
              <w:t>8</w:t>
            </w:r>
            <w:r>
              <w:rPr>
                <w:rFonts w:hint="default" w:ascii="Times New Roman" w:hAnsi="Times New Roman" w:eastAsia="宋体" w:cs="Times New Roman"/>
                <w:color w:val="FF0000"/>
                <w:sz w:val="24"/>
                <w:szCs w:val="24"/>
              </w:rPr>
              <w:t xml:space="preserve"> </w:t>
            </w:r>
            <w:r>
              <w:rPr>
                <w:rFonts w:hint="eastAsia" w:ascii="Times New Roman" w:hAnsi="Times New Roman" w:eastAsia="宋体" w:cs="Times New Roman"/>
                <w:color w:val="FF0000"/>
                <w:sz w:val="24"/>
                <w:szCs w:val="24"/>
                <w:lang w:eastAsia="zh-CN"/>
              </w:rPr>
              <w:t>运行期废气排放执行标准</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61"/>
              <w:gridCol w:w="2155"/>
              <w:gridCol w:w="26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5" w:type="pct"/>
                  <w:noWrap w:val="0"/>
                  <w:vAlign w:val="center"/>
                </w:tcPr>
                <w:p>
                  <w:pPr>
                    <w:pStyle w:val="39"/>
                    <w:bidi w:val="0"/>
                    <w:rPr>
                      <w:rFonts w:hint="default" w:ascii="Times New Roman" w:hAnsi="Times New Roman" w:eastAsia="宋体" w:cs="Times New Roman"/>
                      <w:b/>
                      <w:bCs/>
                      <w:color w:val="FF0000"/>
                    </w:rPr>
                  </w:pPr>
                  <w:r>
                    <w:rPr>
                      <w:rFonts w:hint="default" w:ascii="Times New Roman" w:hAnsi="Times New Roman" w:eastAsia="宋体" w:cs="Times New Roman"/>
                      <w:b/>
                      <w:bCs/>
                      <w:color w:val="FF0000"/>
                    </w:rPr>
                    <w:t>污染物项目</w:t>
                  </w:r>
                </w:p>
              </w:tc>
              <w:tc>
                <w:tcPr>
                  <w:tcW w:w="1338" w:type="pct"/>
                  <w:noWrap w:val="0"/>
                  <w:vAlign w:val="center"/>
                </w:tcPr>
                <w:p>
                  <w:pPr>
                    <w:pStyle w:val="39"/>
                    <w:bidi w:val="0"/>
                    <w:rPr>
                      <w:rFonts w:hint="default" w:ascii="Times New Roman" w:hAnsi="Times New Roman" w:eastAsia="宋体" w:cs="Times New Roman"/>
                      <w:b/>
                      <w:bCs/>
                      <w:color w:val="FF0000"/>
                    </w:rPr>
                  </w:pPr>
                  <w:r>
                    <w:rPr>
                      <w:rFonts w:hint="eastAsia" w:ascii="Times New Roman" w:hAnsi="Times New Roman" w:eastAsia="宋体" w:cs="Times New Roman"/>
                      <w:b/>
                      <w:bCs/>
                      <w:color w:val="FF0000"/>
                      <w:lang w:eastAsia="zh-CN"/>
                    </w:rPr>
                    <w:t>标准</w:t>
                  </w:r>
                  <w:r>
                    <w:rPr>
                      <w:rFonts w:hint="default" w:ascii="Times New Roman" w:hAnsi="Times New Roman" w:eastAsia="宋体" w:cs="Times New Roman"/>
                      <w:b/>
                      <w:bCs/>
                      <w:color w:val="FF0000"/>
                    </w:rPr>
                    <w:t>限值mg/m</w:t>
                  </w:r>
                  <w:r>
                    <w:rPr>
                      <w:rFonts w:hint="default" w:ascii="Times New Roman" w:hAnsi="Times New Roman" w:eastAsia="宋体" w:cs="Times New Roman"/>
                      <w:b/>
                      <w:bCs/>
                      <w:color w:val="FF0000"/>
                      <w:vertAlign w:val="superscript"/>
                    </w:rPr>
                    <w:t>3</w:t>
                  </w:r>
                </w:p>
              </w:tc>
              <w:tc>
                <w:tcPr>
                  <w:tcW w:w="1635" w:type="pct"/>
                  <w:noWrap w:val="0"/>
                  <w:vAlign w:val="center"/>
                </w:tcPr>
                <w:p>
                  <w:pPr>
                    <w:pStyle w:val="39"/>
                    <w:bidi w:val="0"/>
                    <w:rPr>
                      <w:rFonts w:hint="eastAsia" w:ascii="Times New Roman" w:hAnsi="Times New Roman" w:eastAsia="宋体" w:cs="Times New Roman"/>
                      <w:b/>
                      <w:bCs/>
                      <w:color w:val="FF0000"/>
                      <w:lang w:eastAsia="zh-CN"/>
                    </w:rPr>
                  </w:pPr>
                  <w:r>
                    <w:rPr>
                      <w:rFonts w:hint="eastAsia" w:cs="Times New Roman"/>
                      <w:b/>
                      <w:bCs/>
                      <w:color w:val="FF0000"/>
                      <w:lang w:val="en-US"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5" w:type="pct"/>
                  <w:noWrap w:val="0"/>
                  <w:vAlign w:val="center"/>
                </w:tcPr>
                <w:p>
                  <w:pPr>
                    <w:pStyle w:val="39"/>
                    <w:bidi w:val="0"/>
                    <w:rPr>
                      <w:rFonts w:hint="eastAsia" w:ascii="Times New Roman" w:hAnsi="Times New Roman" w:eastAsia="宋体" w:cs="Times New Roman"/>
                      <w:color w:val="FF0000"/>
                      <w:lang w:eastAsia="zh-CN"/>
                    </w:rPr>
                  </w:pPr>
                  <w:r>
                    <w:rPr>
                      <w:rFonts w:hint="eastAsia" w:cs="Times New Roman"/>
                      <w:color w:val="FF0000"/>
                      <w:lang w:val="en-US" w:eastAsia="zh-CN"/>
                    </w:rPr>
                    <w:t>颗粒物</w:t>
                  </w:r>
                </w:p>
              </w:tc>
              <w:tc>
                <w:tcPr>
                  <w:tcW w:w="1338" w:type="pct"/>
                  <w:noWrap w:val="0"/>
                  <w:vAlign w:val="center"/>
                </w:tcPr>
                <w:p>
                  <w:pPr>
                    <w:pStyle w:val="39"/>
                    <w:bidi w:val="0"/>
                    <w:rPr>
                      <w:rFonts w:hint="default" w:ascii="Times New Roman" w:hAnsi="Times New Roman" w:eastAsia="宋体" w:cs="Times New Roman"/>
                      <w:color w:val="FF0000"/>
                      <w:lang w:val="en-US" w:eastAsia="zh-CN"/>
                    </w:rPr>
                  </w:pPr>
                  <w:r>
                    <w:rPr>
                      <w:rFonts w:hint="eastAsia" w:cs="Times New Roman"/>
                      <w:color w:val="FF0000"/>
                      <w:lang w:val="en-US" w:eastAsia="zh-CN"/>
                    </w:rPr>
                    <w:t>120</w:t>
                  </w:r>
                </w:p>
              </w:tc>
              <w:tc>
                <w:tcPr>
                  <w:tcW w:w="1635" w:type="pct"/>
                  <w:vMerge w:val="restart"/>
                  <w:noWrap w:val="0"/>
                  <w:vAlign w:val="center"/>
                </w:tcPr>
                <w:p>
                  <w:pPr>
                    <w:pStyle w:val="39"/>
                    <w:bidi w:val="0"/>
                    <w:rPr>
                      <w:rFonts w:hint="default" w:ascii="Times New Roman" w:hAnsi="Times New Roman" w:eastAsia="宋体" w:cs="Times New Roman"/>
                      <w:color w:val="FF0000"/>
                    </w:rPr>
                  </w:pPr>
                  <w:r>
                    <w:rPr>
                      <w:rFonts w:hint="default" w:ascii="Times New Roman" w:hAnsi="Times New Roman" w:eastAsia="宋体" w:cs="Times New Roman"/>
                      <w:color w:val="FF0000"/>
                    </w:rPr>
                    <w:t>大气污染物综合排放标准》（GB16297-1996）表2新污染源二级标准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5" w:type="pct"/>
                  <w:noWrap w:val="0"/>
                  <w:vAlign w:val="center"/>
                </w:tcPr>
                <w:p>
                  <w:pPr>
                    <w:pStyle w:val="39"/>
                    <w:bidi w:val="0"/>
                    <w:rPr>
                      <w:rFonts w:hint="default" w:ascii="Times New Roman" w:hAnsi="Times New Roman" w:eastAsia="宋体" w:cs="Times New Roman"/>
                      <w:color w:val="FF0000"/>
                    </w:rPr>
                  </w:pPr>
                  <w:r>
                    <w:rPr>
                      <w:rFonts w:hint="default" w:ascii="Times New Roman" w:hAnsi="Times New Roman" w:eastAsia="宋体" w:cs="Times New Roman"/>
                      <w:color w:val="FF0000"/>
                    </w:rPr>
                    <w:t>二氧化硫</w:t>
                  </w:r>
                </w:p>
              </w:tc>
              <w:tc>
                <w:tcPr>
                  <w:tcW w:w="1338" w:type="pct"/>
                  <w:noWrap w:val="0"/>
                  <w:vAlign w:val="center"/>
                </w:tcPr>
                <w:p>
                  <w:pPr>
                    <w:pStyle w:val="39"/>
                    <w:bidi w:val="0"/>
                    <w:rPr>
                      <w:rFonts w:hint="default" w:ascii="Times New Roman" w:hAnsi="Times New Roman" w:eastAsia="宋体" w:cs="Times New Roman"/>
                      <w:color w:val="FF0000"/>
                      <w:lang w:val="en-US" w:eastAsia="zh-CN"/>
                    </w:rPr>
                  </w:pPr>
                  <w:r>
                    <w:rPr>
                      <w:rFonts w:hint="eastAsia" w:cs="Times New Roman"/>
                      <w:color w:val="FF0000"/>
                      <w:lang w:val="en-US" w:eastAsia="zh-CN"/>
                    </w:rPr>
                    <w:t>5</w:t>
                  </w:r>
                  <w:r>
                    <w:rPr>
                      <w:rFonts w:hint="eastAsia" w:ascii="Times New Roman" w:hAnsi="Times New Roman" w:eastAsia="宋体" w:cs="Times New Roman"/>
                      <w:color w:val="FF0000"/>
                      <w:lang w:val="en-US" w:eastAsia="zh-CN"/>
                    </w:rPr>
                    <w:t>50</w:t>
                  </w:r>
                </w:p>
              </w:tc>
              <w:tc>
                <w:tcPr>
                  <w:tcW w:w="1635" w:type="pct"/>
                  <w:vMerge w:val="continue"/>
                  <w:noWrap w:val="0"/>
                  <w:vAlign w:val="center"/>
                </w:tcPr>
                <w:p>
                  <w:pPr>
                    <w:pStyle w:val="39"/>
                    <w:bidi w:val="0"/>
                    <w:rPr>
                      <w:rFonts w:hint="default" w:ascii="Times New Roman" w:hAnsi="Times New Roman" w:eastAsia="宋体" w:cs="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5" w:type="pct"/>
                  <w:noWrap w:val="0"/>
                  <w:vAlign w:val="center"/>
                </w:tcPr>
                <w:p>
                  <w:pPr>
                    <w:pStyle w:val="39"/>
                    <w:bidi w:val="0"/>
                    <w:rPr>
                      <w:rFonts w:hint="default" w:ascii="Times New Roman" w:hAnsi="Times New Roman" w:eastAsia="宋体" w:cs="Times New Roman"/>
                      <w:color w:val="FF0000"/>
                    </w:rPr>
                  </w:pPr>
                  <w:r>
                    <w:rPr>
                      <w:rFonts w:hint="default" w:ascii="Times New Roman" w:hAnsi="Times New Roman" w:eastAsia="宋体" w:cs="Times New Roman"/>
                      <w:color w:val="FF0000"/>
                    </w:rPr>
                    <w:t>氮氧化物</w:t>
                  </w:r>
                </w:p>
              </w:tc>
              <w:tc>
                <w:tcPr>
                  <w:tcW w:w="1338" w:type="pct"/>
                  <w:noWrap w:val="0"/>
                  <w:vAlign w:val="center"/>
                </w:tcPr>
                <w:p>
                  <w:pPr>
                    <w:pStyle w:val="39"/>
                    <w:bidi w:val="0"/>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240</w:t>
                  </w:r>
                </w:p>
              </w:tc>
              <w:tc>
                <w:tcPr>
                  <w:tcW w:w="1635" w:type="pct"/>
                  <w:vMerge w:val="continue"/>
                  <w:noWrap w:val="0"/>
                  <w:vAlign w:val="center"/>
                </w:tcPr>
                <w:p>
                  <w:pPr>
                    <w:pStyle w:val="39"/>
                    <w:bidi w:val="0"/>
                    <w:rPr>
                      <w:rFonts w:hint="default" w:ascii="Times New Roman" w:hAnsi="Times New Roman" w:eastAsia="宋体" w:cs="Times New Roman"/>
                      <w:color w:val="FF0000"/>
                    </w:rPr>
                  </w:pPr>
                </w:p>
              </w:tc>
            </w:tr>
          </w:tbl>
          <w:p>
            <w:pPr>
              <w:keepNext w:val="0"/>
              <w:keepLines w:val="0"/>
              <w:pageBreakBefore w:val="0"/>
              <w:widowControl w:val="0"/>
              <w:kinsoku/>
              <w:wordWrap/>
              <w:overflowPunct/>
              <w:topLinePunct w:val="0"/>
              <w:autoSpaceDE/>
              <w:autoSpaceDN/>
              <w:bidi w:val="0"/>
              <w:adjustRightInd w:val="0"/>
              <w:snapToGrid w:val="0"/>
              <w:spacing w:before="157" w:beforeLines="50"/>
              <w:textAlignment w:val="auto"/>
              <w:rPr>
                <w:b/>
                <w:snapToGrid w:val="0"/>
                <w:color w:val="auto"/>
                <w:kern w:val="0"/>
                <w:sz w:val="24"/>
                <w:lang w:val="en-GB"/>
              </w:rPr>
            </w:pPr>
            <w:r>
              <w:rPr>
                <w:b/>
                <w:snapToGrid w:val="0"/>
                <w:color w:val="auto"/>
                <w:kern w:val="0"/>
                <w:sz w:val="24"/>
              </w:rPr>
              <w:t>2、</w:t>
            </w:r>
            <w:r>
              <w:rPr>
                <w:b/>
                <w:snapToGrid w:val="0"/>
                <w:color w:val="auto"/>
                <w:kern w:val="0"/>
                <w:sz w:val="24"/>
                <w:lang w:val="en-GB"/>
              </w:rPr>
              <w:t>水</w:t>
            </w:r>
            <w:r>
              <w:rPr>
                <w:b/>
                <w:snapToGrid w:val="0"/>
                <w:color w:val="auto"/>
                <w:kern w:val="0"/>
                <w:sz w:val="24"/>
              </w:rPr>
              <w:t>污染物排放标准</w:t>
            </w:r>
          </w:p>
          <w:p>
            <w:pPr>
              <w:pStyle w:val="6"/>
              <w:bidi w:val="0"/>
              <w:rPr>
                <w:rFonts w:hint="eastAsia"/>
                <w:color w:val="auto"/>
                <w:lang w:val="en-US" w:eastAsia="zh-CN"/>
              </w:rPr>
            </w:pPr>
            <w:r>
              <w:rPr>
                <w:rFonts w:hint="eastAsia"/>
                <w:color w:val="auto"/>
                <w:lang w:val="en-US" w:eastAsia="zh-CN"/>
              </w:rPr>
              <w:t>本项目</w:t>
            </w:r>
            <w:r>
              <w:rPr>
                <w:rFonts w:hint="default"/>
                <w:color w:val="auto"/>
                <w:lang w:val="en-US" w:eastAsia="zh-CN"/>
              </w:rPr>
              <w:t>运营</w:t>
            </w:r>
            <w:r>
              <w:rPr>
                <w:rFonts w:hint="default"/>
                <w:color w:val="auto"/>
              </w:rPr>
              <w:t>期</w:t>
            </w:r>
            <w:r>
              <w:rPr>
                <w:rFonts w:hint="eastAsia"/>
                <w:color w:val="auto"/>
                <w:lang w:val="en-US" w:eastAsia="zh-CN"/>
              </w:rPr>
              <w:t>生活污水排放执行《污水综合排放标准》（GB8978-1996）三级标准，具体标准值见表3-9。</w:t>
            </w:r>
          </w:p>
          <w:p>
            <w:pPr>
              <w:pStyle w:val="38"/>
              <w:bidi w:val="0"/>
              <w:rPr>
                <w:rFonts w:hint="eastAsia"/>
                <w:color w:val="auto"/>
                <w:sz w:val="24"/>
                <w:szCs w:val="24"/>
                <w:lang w:val="en-US" w:eastAsia="zh-CN"/>
              </w:rPr>
            </w:pPr>
            <w:r>
              <w:rPr>
                <w:rFonts w:hint="eastAsia"/>
                <w:color w:val="auto"/>
                <w:sz w:val="24"/>
                <w:szCs w:val="24"/>
                <w:lang w:val="en-US" w:eastAsia="zh-CN"/>
              </w:rPr>
              <w:t>表</w:t>
            </w:r>
            <w:bookmarkStart w:id="2" w:name="_Hlk83648324"/>
            <w:r>
              <w:rPr>
                <w:rFonts w:hint="eastAsia"/>
                <w:color w:val="auto"/>
                <w:sz w:val="24"/>
                <w:szCs w:val="24"/>
                <w:lang w:val="en-US" w:eastAsia="zh-CN"/>
              </w:rPr>
              <w:t>3-9 《</w:t>
            </w:r>
            <w:bookmarkEnd w:id="2"/>
            <w:r>
              <w:rPr>
                <w:rFonts w:hint="eastAsia"/>
                <w:color w:val="auto"/>
                <w:sz w:val="24"/>
                <w:szCs w:val="24"/>
                <w:lang w:val="en-US" w:eastAsia="zh-CN"/>
              </w:rPr>
              <w:t>污水综合排放标准</w:t>
            </w:r>
            <w:bookmarkStart w:id="3" w:name="_Hlk83648335"/>
            <w:r>
              <w:rPr>
                <w:rFonts w:hint="eastAsia"/>
                <w:color w:val="auto"/>
                <w:sz w:val="24"/>
                <w:szCs w:val="24"/>
                <w:lang w:val="en-US" w:eastAsia="zh-CN"/>
              </w:rPr>
              <w:t>》（GB8978-1996）</w:t>
            </w:r>
            <w:bookmarkEnd w:id="3"/>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2"/>
              <w:gridCol w:w="1043"/>
              <w:gridCol w:w="1727"/>
              <w:gridCol w:w="1027"/>
              <w:gridCol w:w="1242"/>
              <w:gridCol w:w="1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1" w:hRule="exact"/>
                <w:tblHeader/>
                <w:jc w:val="center"/>
              </w:trPr>
              <w:tc>
                <w:tcPr>
                  <w:tcW w:w="1042" w:type="dxa"/>
                  <w:tcBorders>
                    <w:tl2br w:val="nil"/>
                    <w:tr2bl w:val="nil"/>
                  </w:tcBorders>
                  <w:noWrap w:val="0"/>
                  <w:vAlign w:val="center"/>
                </w:tcPr>
                <w:p>
                  <w:pPr>
                    <w:pStyle w:val="39"/>
                    <w:bidi w:val="0"/>
                    <w:rPr>
                      <w:b/>
                      <w:bCs/>
                      <w:color w:val="auto"/>
                    </w:rPr>
                  </w:pPr>
                  <w:r>
                    <w:rPr>
                      <w:b/>
                      <w:bCs/>
                      <w:color w:val="auto"/>
                    </w:rPr>
                    <w:t>序号</w:t>
                  </w:r>
                </w:p>
              </w:tc>
              <w:tc>
                <w:tcPr>
                  <w:tcW w:w="1043" w:type="dxa"/>
                  <w:tcBorders>
                    <w:tl2br w:val="nil"/>
                    <w:tr2bl w:val="nil"/>
                  </w:tcBorders>
                  <w:noWrap w:val="0"/>
                  <w:vAlign w:val="center"/>
                </w:tcPr>
                <w:p>
                  <w:pPr>
                    <w:pStyle w:val="39"/>
                    <w:bidi w:val="0"/>
                    <w:rPr>
                      <w:b/>
                      <w:bCs/>
                      <w:color w:val="auto"/>
                    </w:rPr>
                  </w:pPr>
                  <w:r>
                    <w:rPr>
                      <w:b/>
                      <w:bCs/>
                      <w:color w:val="auto"/>
                    </w:rPr>
                    <w:t>污染物</w:t>
                  </w:r>
                </w:p>
              </w:tc>
              <w:tc>
                <w:tcPr>
                  <w:tcW w:w="1727" w:type="dxa"/>
                  <w:tcBorders>
                    <w:tl2br w:val="nil"/>
                    <w:tr2bl w:val="nil"/>
                  </w:tcBorders>
                  <w:noWrap w:val="0"/>
                  <w:vAlign w:val="center"/>
                </w:tcPr>
                <w:p>
                  <w:pPr>
                    <w:pStyle w:val="39"/>
                    <w:bidi w:val="0"/>
                    <w:rPr>
                      <w:b/>
                      <w:bCs/>
                      <w:color w:val="auto"/>
                    </w:rPr>
                  </w:pPr>
                  <w:r>
                    <w:rPr>
                      <w:b/>
                      <w:bCs/>
                      <w:color w:val="auto"/>
                    </w:rPr>
                    <w:t>三级标准限值（mg/L）</w:t>
                  </w:r>
                </w:p>
              </w:tc>
              <w:tc>
                <w:tcPr>
                  <w:tcW w:w="1027" w:type="dxa"/>
                  <w:tcBorders>
                    <w:tl2br w:val="nil"/>
                    <w:tr2bl w:val="nil"/>
                  </w:tcBorders>
                  <w:noWrap w:val="0"/>
                  <w:vAlign w:val="center"/>
                </w:tcPr>
                <w:p>
                  <w:pPr>
                    <w:pStyle w:val="39"/>
                    <w:bidi w:val="0"/>
                    <w:rPr>
                      <w:b/>
                      <w:bCs/>
                      <w:color w:val="auto"/>
                    </w:rPr>
                  </w:pPr>
                  <w:r>
                    <w:rPr>
                      <w:b/>
                      <w:bCs/>
                      <w:color w:val="auto"/>
                    </w:rPr>
                    <w:t>序号</w:t>
                  </w:r>
                </w:p>
              </w:tc>
              <w:tc>
                <w:tcPr>
                  <w:tcW w:w="1242" w:type="dxa"/>
                  <w:tcBorders>
                    <w:tl2br w:val="nil"/>
                    <w:tr2bl w:val="nil"/>
                  </w:tcBorders>
                  <w:noWrap w:val="0"/>
                  <w:vAlign w:val="center"/>
                </w:tcPr>
                <w:p>
                  <w:pPr>
                    <w:pStyle w:val="39"/>
                    <w:bidi w:val="0"/>
                    <w:rPr>
                      <w:b/>
                      <w:bCs/>
                      <w:color w:val="auto"/>
                    </w:rPr>
                  </w:pPr>
                  <w:r>
                    <w:rPr>
                      <w:rFonts w:hint="eastAsia"/>
                      <w:b/>
                      <w:bCs/>
                      <w:color w:val="auto"/>
                      <w:lang w:val="en-US" w:eastAsia="zh-CN"/>
                    </w:rPr>
                    <w:t>污染</w:t>
                  </w:r>
                  <w:r>
                    <w:rPr>
                      <w:b/>
                      <w:bCs/>
                      <w:color w:val="auto"/>
                    </w:rPr>
                    <w:t>物</w:t>
                  </w:r>
                </w:p>
              </w:tc>
              <w:tc>
                <w:tcPr>
                  <w:tcW w:w="1969" w:type="dxa"/>
                  <w:tcBorders>
                    <w:tl2br w:val="nil"/>
                    <w:tr2bl w:val="nil"/>
                  </w:tcBorders>
                  <w:noWrap w:val="0"/>
                  <w:vAlign w:val="center"/>
                </w:tcPr>
                <w:p>
                  <w:pPr>
                    <w:pStyle w:val="39"/>
                    <w:bidi w:val="0"/>
                    <w:rPr>
                      <w:b/>
                      <w:bCs/>
                      <w:color w:val="auto"/>
                    </w:rPr>
                  </w:pPr>
                  <w:r>
                    <w:rPr>
                      <w:b/>
                      <w:bCs/>
                      <w:color w:val="auto"/>
                    </w:rPr>
                    <w:t>三级标准限值（mg/L）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tblHeader/>
                <w:jc w:val="center"/>
              </w:trPr>
              <w:tc>
                <w:tcPr>
                  <w:tcW w:w="1042"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1</w:t>
                  </w:r>
                </w:p>
              </w:tc>
              <w:tc>
                <w:tcPr>
                  <w:tcW w:w="1043"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pH</w:t>
                  </w:r>
                </w:p>
              </w:tc>
              <w:tc>
                <w:tcPr>
                  <w:tcW w:w="1727"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6～9</w:t>
                  </w:r>
                </w:p>
              </w:tc>
              <w:tc>
                <w:tcPr>
                  <w:tcW w:w="1027"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4</w:t>
                  </w:r>
                </w:p>
              </w:tc>
              <w:tc>
                <w:tcPr>
                  <w:tcW w:w="1242"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SS</w:t>
                  </w:r>
                </w:p>
              </w:tc>
              <w:tc>
                <w:tcPr>
                  <w:tcW w:w="1969"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tblHeader/>
                <w:jc w:val="center"/>
              </w:trPr>
              <w:tc>
                <w:tcPr>
                  <w:tcW w:w="1042"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2</w:t>
                  </w:r>
                </w:p>
              </w:tc>
              <w:tc>
                <w:tcPr>
                  <w:tcW w:w="1043"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COD</w:t>
                  </w:r>
                </w:p>
              </w:tc>
              <w:tc>
                <w:tcPr>
                  <w:tcW w:w="1727"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500</w:t>
                  </w:r>
                </w:p>
              </w:tc>
              <w:tc>
                <w:tcPr>
                  <w:tcW w:w="1027"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5</w:t>
                  </w:r>
                </w:p>
              </w:tc>
              <w:tc>
                <w:tcPr>
                  <w:tcW w:w="1242"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氨氮</w:t>
                  </w:r>
                </w:p>
              </w:tc>
              <w:tc>
                <w:tcPr>
                  <w:tcW w:w="1969" w:type="dxa"/>
                  <w:tcBorders>
                    <w:tl2br w:val="nil"/>
                    <w:tr2bl w:val="nil"/>
                  </w:tcBorders>
                  <w:noWrap w:val="0"/>
                  <w:vAlign w:val="center"/>
                </w:tcPr>
                <w:p>
                  <w:pPr>
                    <w:pStyle w:val="39"/>
                    <w:bidi w:val="0"/>
                    <w:rPr>
                      <w:rFonts w:hint="eastAsia" w:ascii="Times New Roman" w:hAnsi="Times New Roman" w:eastAsia="宋体" w:cs="Times New Roman"/>
                      <w:lang w:val="en-US" w:eastAsia="zh-CN"/>
                    </w:rPr>
                  </w:pPr>
                  <w:r>
                    <w:rPr>
                      <w:rFonts w:hint="eastAsia"/>
                      <w:highlight w:val="yellow"/>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tblHeader/>
                <w:jc w:val="center"/>
              </w:trPr>
              <w:tc>
                <w:tcPr>
                  <w:tcW w:w="1042"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3</w:t>
                  </w:r>
                </w:p>
              </w:tc>
              <w:tc>
                <w:tcPr>
                  <w:tcW w:w="1043"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BOD</w:t>
                  </w:r>
                  <w:r>
                    <w:rPr>
                      <w:rFonts w:ascii="Times New Roman" w:hAnsi="Times New Roman" w:eastAsia="宋体" w:cs="Times New Roman"/>
                      <w:vertAlign w:val="subscript"/>
                    </w:rPr>
                    <w:t>5</w:t>
                  </w:r>
                </w:p>
              </w:tc>
              <w:tc>
                <w:tcPr>
                  <w:tcW w:w="1727" w:type="dxa"/>
                  <w:tcBorders>
                    <w:tl2br w:val="nil"/>
                    <w:tr2bl w:val="nil"/>
                  </w:tcBorders>
                  <w:noWrap w:val="0"/>
                  <w:vAlign w:val="center"/>
                </w:tcPr>
                <w:p>
                  <w:pPr>
                    <w:pStyle w:val="39"/>
                    <w:bidi w:val="0"/>
                    <w:rPr>
                      <w:rFonts w:ascii="Times New Roman" w:hAnsi="Times New Roman" w:eastAsia="宋体" w:cs="Times New Roman"/>
                    </w:rPr>
                  </w:pPr>
                  <w:r>
                    <w:rPr>
                      <w:rFonts w:ascii="Times New Roman" w:hAnsi="Times New Roman" w:eastAsia="宋体" w:cs="Times New Roman"/>
                    </w:rPr>
                    <w:t>300</w:t>
                  </w:r>
                </w:p>
              </w:tc>
              <w:tc>
                <w:tcPr>
                  <w:tcW w:w="1027" w:type="dxa"/>
                  <w:tcBorders>
                    <w:tl2br w:val="nil"/>
                    <w:tr2bl w:val="nil"/>
                  </w:tcBorders>
                  <w:noWrap w:val="0"/>
                  <w:vAlign w:val="center"/>
                </w:tcPr>
                <w:p>
                  <w:pPr>
                    <w:pStyle w:val="39"/>
                    <w:bidi w:val="0"/>
                    <w:rPr>
                      <w:rFonts w:ascii="Times New Roman" w:hAnsi="Times New Roman" w:eastAsia="宋体" w:cs="Times New Roman"/>
                    </w:rPr>
                  </w:pPr>
                </w:p>
              </w:tc>
              <w:tc>
                <w:tcPr>
                  <w:tcW w:w="1242" w:type="dxa"/>
                  <w:tcBorders>
                    <w:tl2br w:val="nil"/>
                    <w:tr2bl w:val="nil"/>
                  </w:tcBorders>
                  <w:noWrap w:val="0"/>
                  <w:vAlign w:val="center"/>
                </w:tcPr>
                <w:p>
                  <w:pPr>
                    <w:pStyle w:val="39"/>
                    <w:bidi w:val="0"/>
                    <w:rPr>
                      <w:rFonts w:ascii="Times New Roman" w:hAnsi="Times New Roman" w:eastAsia="宋体" w:cs="Times New Roman"/>
                    </w:rPr>
                  </w:pPr>
                </w:p>
              </w:tc>
              <w:tc>
                <w:tcPr>
                  <w:tcW w:w="1969" w:type="dxa"/>
                  <w:tcBorders>
                    <w:tl2br w:val="nil"/>
                    <w:tr2bl w:val="nil"/>
                  </w:tcBorders>
                  <w:noWrap w:val="0"/>
                  <w:vAlign w:val="center"/>
                </w:tcPr>
                <w:p>
                  <w:pPr>
                    <w:pStyle w:val="39"/>
                    <w:bidi w:val="0"/>
                    <w:rPr>
                      <w:rFonts w:ascii="Times New Roman" w:hAnsi="Times New Roman" w:eastAsia="宋体" w:cs="Times New Roman"/>
                    </w:rPr>
                  </w:pP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2" w:firstLineChars="200"/>
              <w:textAlignment w:val="auto"/>
              <w:rPr>
                <w:b/>
                <w:snapToGrid w:val="0"/>
                <w:color w:val="auto"/>
                <w:kern w:val="0"/>
                <w:sz w:val="24"/>
              </w:rPr>
            </w:pPr>
            <w:r>
              <w:rPr>
                <w:b/>
                <w:snapToGrid w:val="0"/>
                <w:color w:val="auto"/>
                <w:kern w:val="0"/>
                <w:sz w:val="24"/>
              </w:rPr>
              <w:t>3、噪声排放标准</w:t>
            </w:r>
          </w:p>
          <w:p>
            <w:pPr>
              <w:pStyle w:val="6"/>
              <w:bidi w:val="0"/>
              <w:rPr>
                <w:rFonts w:hint="default"/>
              </w:rPr>
            </w:pPr>
            <w:r>
              <w:rPr>
                <w:rFonts w:hint="default"/>
              </w:rPr>
              <w:t>本项目施工期噪声排放执行《建筑施工场界环境噪声排放标准》（GB12523-2011）</w:t>
            </w:r>
            <w:r>
              <w:rPr>
                <w:rFonts w:hint="default"/>
                <w:lang w:eastAsia="zh-CN"/>
              </w:rPr>
              <w:t>，</w:t>
            </w:r>
            <w:r>
              <w:rPr>
                <w:rFonts w:hint="default"/>
              </w:rPr>
              <w:t>具体详见表</w:t>
            </w:r>
            <w:r>
              <w:rPr>
                <w:rFonts w:hint="default"/>
                <w:lang w:val="en-US" w:eastAsia="zh-CN"/>
              </w:rPr>
              <w:t>3-1</w:t>
            </w:r>
            <w:r>
              <w:rPr>
                <w:rFonts w:hint="eastAsia"/>
                <w:lang w:val="en-US" w:eastAsia="zh-CN"/>
              </w:rPr>
              <w:t>0</w:t>
            </w:r>
            <w:r>
              <w:rPr>
                <w:rFonts w:hint="default"/>
              </w:rPr>
              <w:t>。</w:t>
            </w:r>
          </w:p>
          <w:p>
            <w:pPr>
              <w:pStyle w:val="38"/>
              <w:bidi w:val="0"/>
              <w:rPr>
                <w:rFonts w:hint="default"/>
                <w:sz w:val="24"/>
                <w:szCs w:val="24"/>
              </w:rPr>
            </w:pPr>
            <w:r>
              <w:rPr>
                <w:rFonts w:hint="default"/>
                <w:sz w:val="24"/>
                <w:szCs w:val="24"/>
              </w:rPr>
              <w:t>表</w:t>
            </w:r>
            <w:r>
              <w:rPr>
                <w:rFonts w:hint="default"/>
                <w:sz w:val="24"/>
                <w:szCs w:val="24"/>
                <w:lang w:val="en-US" w:eastAsia="zh-CN"/>
              </w:rPr>
              <w:t>3-1</w:t>
            </w:r>
            <w:r>
              <w:rPr>
                <w:rFonts w:hint="eastAsia"/>
                <w:sz w:val="24"/>
                <w:szCs w:val="24"/>
                <w:lang w:val="en-US" w:eastAsia="zh-CN"/>
              </w:rPr>
              <w:t>0</w:t>
            </w:r>
            <w:r>
              <w:rPr>
                <w:rFonts w:hint="default"/>
                <w:sz w:val="24"/>
                <w:szCs w:val="24"/>
              </w:rPr>
              <w:t xml:space="preserve"> 《建筑施工场界环境噪声排放标准》（GB12523-2011）</w:t>
            </w:r>
          </w:p>
          <w:tbl>
            <w:tblPr>
              <w:tblStyle w:val="23"/>
              <w:tblW w:w="8050"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24"/>
              <w:gridCol w:w="4026"/>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blHeader/>
                <w:jc w:val="center"/>
              </w:trPr>
              <w:tc>
                <w:tcPr>
                  <w:tcW w:w="4024" w:type="dxa"/>
                  <w:tcBorders>
                    <w:bottom w:val="single" w:color="auto" w:sz="4" w:space="0"/>
                    <w:right w:val="single" w:color="auto" w:sz="4" w:space="0"/>
                  </w:tcBorders>
                  <w:noWrap w:val="0"/>
                  <w:vAlign w:val="center"/>
                </w:tcPr>
                <w:p>
                  <w:pPr>
                    <w:pStyle w:val="39"/>
                    <w:bidi w:val="0"/>
                    <w:rPr>
                      <w:rFonts w:hint="default"/>
                      <w:b/>
                      <w:bCs/>
                    </w:rPr>
                  </w:pPr>
                  <w:r>
                    <w:rPr>
                      <w:rFonts w:hint="default"/>
                      <w:b/>
                      <w:bCs/>
                    </w:rPr>
                    <w:t>昼间dB(A)</w:t>
                  </w:r>
                </w:p>
              </w:tc>
              <w:tc>
                <w:tcPr>
                  <w:tcW w:w="4026" w:type="dxa"/>
                  <w:tcBorders>
                    <w:left w:val="single" w:color="auto" w:sz="4" w:space="0"/>
                    <w:bottom w:val="single" w:color="auto" w:sz="4" w:space="0"/>
                  </w:tcBorders>
                  <w:noWrap w:val="0"/>
                  <w:vAlign w:val="center"/>
                </w:tcPr>
                <w:p>
                  <w:pPr>
                    <w:pStyle w:val="39"/>
                    <w:bidi w:val="0"/>
                    <w:rPr>
                      <w:rFonts w:hint="default"/>
                      <w:b/>
                      <w:bCs/>
                    </w:rPr>
                  </w:pPr>
                  <w:r>
                    <w:rPr>
                      <w:rFonts w:hint="default"/>
                      <w:b/>
                      <w:bCs/>
                    </w:rPr>
                    <w:t>夜间dB(A)</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blHeader/>
                <w:jc w:val="center"/>
              </w:trPr>
              <w:tc>
                <w:tcPr>
                  <w:tcW w:w="4024" w:type="dxa"/>
                  <w:tcBorders>
                    <w:top w:val="single" w:color="auto" w:sz="4" w:space="0"/>
                    <w:right w:val="single" w:color="auto" w:sz="4" w:space="0"/>
                  </w:tcBorders>
                  <w:noWrap w:val="0"/>
                  <w:vAlign w:val="center"/>
                </w:tcPr>
                <w:p>
                  <w:pPr>
                    <w:pStyle w:val="39"/>
                    <w:bidi w:val="0"/>
                    <w:rPr>
                      <w:rFonts w:hint="default"/>
                    </w:rPr>
                  </w:pPr>
                  <w:r>
                    <w:rPr>
                      <w:rFonts w:hint="default"/>
                    </w:rPr>
                    <w:t>70</w:t>
                  </w:r>
                </w:p>
              </w:tc>
              <w:tc>
                <w:tcPr>
                  <w:tcW w:w="4026" w:type="dxa"/>
                  <w:tcBorders>
                    <w:top w:val="single" w:color="auto" w:sz="4" w:space="0"/>
                    <w:left w:val="single" w:color="auto" w:sz="4" w:space="0"/>
                  </w:tcBorders>
                  <w:noWrap w:val="0"/>
                  <w:vAlign w:val="center"/>
                </w:tcPr>
                <w:p>
                  <w:pPr>
                    <w:pStyle w:val="39"/>
                    <w:bidi w:val="0"/>
                    <w:rPr>
                      <w:rFonts w:hint="default"/>
                    </w:rPr>
                  </w:pPr>
                  <w:r>
                    <w:rPr>
                      <w:rFonts w:hint="default"/>
                    </w:rPr>
                    <w:t>55</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pPr>
            <w:r>
              <w:rPr>
                <w:rFonts w:hint="default"/>
              </w:rPr>
              <w:t>本项目营运期噪声排放执行《工业企业厂界环境噪声排放标准》（GB 12348-2008）</w:t>
            </w:r>
            <w:r>
              <w:rPr>
                <w:rFonts w:hint="default"/>
                <w:lang w:val="en-US" w:eastAsia="zh-CN"/>
              </w:rPr>
              <w:t>2</w:t>
            </w:r>
            <w:r>
              <w:rPr>
                <w:rFonts w:hint="default"/>
              </w:rPr>
              <w:t>类标准。具体详见表</w:t>
            </w:r>
            <w:r>
              <w:rPr>
                <w:rFonts w:hint="default"/>
                <w:lang w:val="en-US" w:eastAsia="zh-CN"/>
              </w:rPr>
              <w:t>3-1</w:t>
            </w:r>
            <w:r>
              <w:rPr>
                <w:rFonts w:hint="eastAsia"/>
                <w:lang w:val="en-US" w:eastAsia="zh-CN"/>
              </w:rPr>
              <w:t>1</w:t>
            </w:r>
            <w:r>
              <w:rPr>
                <w:rFonts w:hint="default"/>
              </w:rPr>
              <w:t>。</w:t>
            </w:r>
          </w:p>
          <w:p>
            <w:pPr>
              <w:pStyle w:val="38"/>
              <w:bidi w:val="0"/>
              <w:rPr>
                <w:rFonts w:hint="default"/>
                <w:sz w:val="24"/>
                <w:szCs w:val="24"/>
              </w:rPr>
            </w:pPr>
            <w:r>
              <w:rPr>
                <w:rFonts w:hint="default"/>
                <w:sz w:val="24"/>
                <w:szCs w:val="24"/>
              </w:rPr>
              <w:t>表</w:t>
            </w:r>
            <w:r>
              <w:rPr>
                <w:rFonts w:hint="default"/>
                <w:sz w:val="24"/>
                <w:szCs w:val="24"/>
                <w:lang w:val="en-US" w:eastAsia="zh-CN"/>
              </w:rPr>
              <w:t>3-1</w:t>
            </w:r>
            <w:r>
              <w:rPr>
                <w:rFonts w:hint="eastAsia"/>
                <w:sz w:val="24"/>
                <w:szCs w:val="24"/>
                <w:lang w:val="en-US" w:eastAsia="zh-CN"/>
              </w:rPr>
              <w:t>1</w:t>
            </w:r>
            <w:r>
              <w:rPr>
                <w:rFonts w:hint="default"/>
                <w:sz w:val="24"/>
                <w:szCs w:val="24"/>
              </w:rPr>
              <w:t xml:space="preserve"> 工业企业厂界环境噪声排放标准（GB12348-2008）</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84"/>
              <w:gridCol w:w="2684"/>
              <w:gridCol w:w="26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47" w:type="dxa"/>
                  <w:noWrap w:val="0"/>
                  <w:vAlign w:val="center"/>
                </w:tcPr>
                <w:p>
                  <w:pPr>
                    <w:pStyle w:val="39"/>
                    <w:bidi w:val="0"/>
                    <w:spacing w:line="240" w:lineRule="auto"/>
                    <w:jc w:val="center"/>
                    <w:rPr>
                      <w:rFonts w:hint="default"/>
                      <w:b/>
                      <w:bCs/>
                    </w:rPr>
                  </w:pPr>
                  <w:r>
                    <w:rPr>
                      <w:rFonts w:hint="default"/>
                      <w:b/>
                      <w:bCs/>
                    </w:rPr>
                    <w:t>类别</w:t>
                  </w:r>
                </w:p>
              </w:tc>
              <w:tc>
                <w:tcPr>
                  <w:tcW w:w="2646" w:type="dxa"/>
                  <w:noWrap w:val="0"/>
                  <w:vAlign w:val="center"/>
                </w:tcPr>
                <w:p>
                  <w:pPr>
                    <w:pStyle w:val="39"/>
                    <w:bidi w:val="0"/>
                    <w:spacing w:line="240" w:lineRule="auto"/>
                    <w:jc w:val="center"/>
                    <w:rPr>
                      <w:rFonts w:hint="default"/>
                      <w:b/>
                      <w:bCs/>
                    </w:rPr>
                  </w:pPr>
                  <w:r>
                    <w:rPr>
                      <w:rFonts w:hint="default"/>
                      <w:b/>
                      <w:bCs/>
                    </w:rPr>
                    <w:t>昼间dB(A)</w:t>
                  </w:r>
                </w:p>
              </w:tc>
              <w:tc>
                <w:tcPr>
                  <w:tcW w:w="2644" w:type="dxa"/>
                  <w:noWrap w:val="0"/>
                  <w:vAlign w:val="center"/>
                </w:tcPr>
                <w:p>
                  <w:pPr>
                    <w:pStyle w:val="39"/>
                    <w:bidi w:val="0"/>
                    <w:spacing w:line="240" w:lineRule="auto"/>
                    <w:jc w:val="center"/>
                    <w:rPr>
                      <w:rFonts w:hint="default"/>
                      <w:b/>
                      <w:bCs/>
                    </w:rPr>
                  </w:pPr>
                  <w:r>
                    <w:rPr>
                      <w:rFonts w:hint="default"/>
                      <w:b/>
                      <w:bCs/>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47" w:type="dxa"/>
                  <w:noWrap w:val="0"/>
                  <w:vAlign w:val="center"/>
                </w:tcPr>
                <w:p>
                  <w:pPr>
                    <w:pStyle w:val="39"/>
                    <w:bidi w:val="0"/>
                    <w:jc w:val="center"/>
                    <w:rPr>
                      <w:rFonts w:hint="default"/>
                    </w:rPr>
                  </w:pPr>
                  <w:r>
                    <w:rPr>
                      <w:rFonts w:hint="default"/>
                      <w:lang w:val="en-US" w:eastAsia="zh-CN"/>
                    </w:rPr>
                    <w:t>2</w:t>
                  </w:r>
                  <w:r>
                    <w:rPr>
                      <w:rFonts w:hint="default"/>
                    </w:rPr>
                    <w:t>类</w:t>
                  </w:r>
                </w:p>
              </w:tc>
              <w:tc>
                <w:tcPr>
                  <w:tcW w:w="2646" w:type="dxa"/>
                  <w:noWrap w:val="0"/>
                  <w:vAlign w:val="center"/>
                </w:tcPr>
                <w:p>
                  <w:pPr>
                    <w:pStyle w:val="39"/>
                    <w:bidi w:val="0"/>
                    <w:jc w:val="center"/>
                    <w:rPr>
                      <w:rFonts w:hint="default"/>
                      <w:lang w:val="en-US" w:eastAsia="zh-CN"/>
                    </w:rPr>
                  </w:pPr>
                  <w:r>
                    <w:rPr>
                      <w:rFonts w:hint="default"/>
                      <w:lang w:val="en-US" w:eastAsia="zh-CN"/>
                    </w:rPr>
                    <w:t>60</w:t>
                  </w:r>
                </w:p>
              </w:tc>
              <w:tc>
                <w:tcPr>
                  <w:tcW w:w="2644" w:type="dxa"/>
                  <w:noWrap w:val="0"/>
                  <w:vAlign w:val="center"/>
                </w:tcPr>
                <w:p>
                  <w:pPr>
                    <w:pStyle w:val="39"/>
                    <w:bidi w:val="0"/>
                    <w:jc w:val="center"/>
                    <w:rPr>
                      <w:rFonts w:hint="default"/>
                      <w:lang w:val="en-US" w:eastAsia="zh-CN"/>
                    </w:rPr>
                  </w:pPr>
                  <w:r>
                    <w:rPr>
                      <w:rFonts w:hint="default"/>
                      <w:lang w:val="en-US" w:eastAsia="zh-CN"/>
                    </w:rPr>
                    <w:t>50</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2" w:firstLineChars="200"/>
              <w:textAlignment w:val="auto"/>
              <w:rPr>
                <w:bCs/>
                <w:snapToGrid w:val="0"/>
                <w:color w:val="auto"/>
                <w:kern w:val="0"/>
                <w:sz w:val="24"/>
                <w:lang w:val="en-GB"/>
              </w:rPr>
            </w:pPr>
            <w:r>
              <w:rPr>
                <w:b/>
                <w:snapToGrid w:val="0"/>
                <w:color w:val="auto"/>
                <w:kern w:val="0"/>
                <w:sz w:val="24"/>
              </w:rPr>
              <w:t>4、</w:t>
            </w:r>
            <w:r>
              <w:rPr>
                <w:b/>
                <w:snapToGrid w:val="0"/>
                <w:color w:val="auto"/>
                <w:kern w:val="0"/>
                <w:sz w:val="24"/>
                <w:lang w:val="en-GB"/>
              </w:rPr>
              <w:t>固体废物</w:t>
            </w:r>
            <w:r>
              <w:rPr>
                <w:b/>
                <w:snapToGrid w:val="0"/>
                <w:color w:val="auto"/>
                <w:kern w:val="0"/>
                <w:sz w:val="24"/>
              </w:rPr>
              <w:t>排放标准</w:t>
            </w:r>
          </w:p>
          <w:p>
            <w:pPr>
              <w:adjustRightInd w:val="0"/>
              <w:snapToGrid w:val="0"/>
              <w:ind w:firstLine="480" w:firstLineChars="200"/>
              <w:rPr>
                <w:color w:val="auto"/>
                <w:kern w:val="0"/>
                <w:sz w:val="24"/>
              </w:rPr>
            </w:pPr>
            <w:r>
              <w:rPr>
                <w:bCs/>
                <w:snapToGrid w:val="0"/>
                <w:color w:val="auto"/>
                <w:kern w:val="0"/>
                <w:sz w:val="24"/>
                <w:highlight w:val="none"/>
                <w:lang w:val="en-GB"/>
              </w:rPr>
              <w:t>一般固体废物执行</w:t>
            </w:r>
            <w:r>
              <w:rPr>
                <w:bCs/>
                <w:snapToGrid w:val="0"/>
                <w:color w:val="auto"/>
                <w:kern w:val="0"/>
                <w:sz w:val="24"/>
                <w:highlight w:val="none"/>
              </w:rPr>
              <w:t>《一般工业固体废物贮存和填埋污染控制标准》（GB18599-2020）中有关规定。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800" w:type="dxa"/>
            <w:noWrap w:val="0"/>
            <w:vAlign w:val="center"/>
          </w:tcPr>
          <w:p>
            <w:pPr>
              <w:adjustRightInd w:val="0"/>
              <w:snapToGrid w:val="0"/>
              <w:jc w:val="center"/>
              <w:rPr>
                <w:color w:val="auto"/>
                <w:kern w:val="0"/>
                <w:sz w:val="24"/>
              </w:rPr>
            </w:pPr>
            <w:r>
              <w:rPr>
                <w:color w:val="auto"/>
                <w:kern w:val="0"/>
                <w:sz w:val="24"/>
              </w:rPr>
              <w:t>总量</w:t>
            </w:r>
          </w:p>
          <w:p>
            <w:pPr>
              <w:adjustRightInd w:val="0"/>
              <w:snapToGrid w:val="0"/>
              <w:jc w:val="center"/>
              <w:rPr>
                <w:color w:val="auto"/>
                <w:kern w:val="0"/>
                <w:sz w:val="24"/>
              </w:rPr>
            </w:pPr>
            <w:r>
              <w:rPr>
                <w:color w:val="auto"/>
                <w:kern w:val="0"/>
                <w:sz w:val="24"/>
              </w:rPr>
              <w:t>控制</w:t>
            </w:r>
          </w:p>
          <w:p>
            <w:pPr>
              <w:adjustRightInd w:val="0"/>
              <w:snapToGrid w:val="0"/>
              <w:jc w:val="center"/>
              <w:rPr>
                <w:color w:val="auto"/>
                <w:kern w:val="0"/>
                <w:sz w:val="24"/>
              </w:rPr>
            </w:pPr>
            <w:r>
              <w:rPr>
                <w:color w:val="auto"/>
                <w:kern w:val="0"/>
                <w:sz w:val="24"/>
              </w:rPr>
              <w:t>指标</w:t>
            </w:r>
          </w:p>
        </w:tc>
        <w:tc>
          <w:tcPr>
            <w:tcW w:w="8190" w:type="dxa"/>
            <w:noWrap w:val="0"/>
            <w:vAlign w:val="center"/>
          </w:tcPr>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rPr>
                <w:rFonts w:hint="eastAsia"/>
                <w:lang w:val="en-US" w:eastAsia="zh-CN"/>
              </w:rPr>
            </w:pPr>
            <w:r>
              <w:rPr>
                <w:rFonts w:hint="eastAsia"/>
                <w:lang w:val="en-US" w:eastAsia="zh-CN"/>
              </w:rPr>
              <w:t>项目运营期无生产废水，生活污水经化粪池处理后排入市政污水管网，最终进入银定图镇丰乐新村污水处理站处理，总量已纳入该污水厂总量控制指标中，无需另行申请总量，废气总量控制指标如下：</w:t>
            </w:r>
          </w:p>
          <w:p>
            <w:pPr>
              <w:pStyle w:val="6"/>
              <w:bidi w:val="0"/>
              <w:rPr>
                <w:rFonts w:hint="eastAsia" w:eastAsia="宋体"/>
                <w:color w:val="auto"/>
                <w:lang w:val="en-US" w:eastAsia="zh-CN"/>
              </w:rPr>
            </w:pPr>
            <w:r>
              <w:rPr>
                <w:rFonts w:hint="eastAsia"/>
                <w:highlight w:val="none"/>
                <w:lang w:val="en-US" w:eastAsia="zh-CN"/>
              </w:rPr>
              <w:t>废气：SO</w:t>
            </w:r>
            <w:r>
              <w:rPr>
                <w:rFonts w:hint="eastAsia"/>
                <w:highlight w:val="none"/>
                <w:vertAlign w:val="subscript"/>
                <w:lang w:val="en-US" w:eastAsia="zh-CN"/>
              </w:rPr>
              <w:t>2</w:t>
            </w:r>
            <w:r>
              <w:rPr>
                <w:rFonts w:hint="eastAsia"/>
                <w:highlight w:val="none"/>
                <w:lang w:val="en-US" w:eastAsia="zh-CN"/>
              </w:rPr>
              <w:t xml:space="preserve"> 1.68t/a，NOx 1.02t/a。</w:t>
            </w:r>
          </w:p>
        </w:tc>
      </w:tr>
    </w:tbl>
    <w:p>
      <w:pPr>
        <w:pStyle w:val="20"/>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r>
        <w:rPr>
          <w:rFonts w:ascii="Times New Roman" w:hAnsi="Times New Roman" w:eastAsia="黑体"/>
          <w:snapToGrid w:val="0"/>
          <w:color w:val="auto"/>
          <w:sz w:val="30"/>
          <w:szCs w:val="30"/>
        </w:rPr>
        <w:t>四、主要环境影响和保护措施</w:t>
      </w:r>
    </w:p>
    <w:tbl>
      <w:tblPr>
        <w:tblStyle w:val="2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7"/>
        <w:gridCol w:w="82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0" w:hRule="atLeast"/>
          <w:jc w:val="center"/>
        </w:trPr>
        <w:tc>
          <w:tcPr>
            <w:tcW w:w="757" w:type="dxa"/>
            <w:noWrap w:val="0"/>
            <w:tcMar>
              <w:left w:w="28" w:type="dxa"/>
              <w:right w:w="28" w:type="dxa"/>
            </w:tcMar>
            <w:vAlign w:val="center"/>
          </w:tcPr>
          <w:p>
            <w:pPr>
              <w:pStyle w:val="20"/>
              <w:adjustRightInd w:val="0"/>
              <w:snapToGrid w:val="0"/>
              <w:spacing w:before="0" w:beforeAutospacing="0" w:after="0" w:afterAutospacing="0"/>
              <w:jc w:val="center"/>
              <w:rPr>
                <w:rFonts w:hint="default" w:ascii="Times New Roman" w:hAnsi="Times New Roman" w:cs="Times New Roman"/>
                <w:color w:val="auto"/>
                <w:kern w:val="2"/>
                <w:szCs w:val="24"/>
              </w:rPr>
            </w:pPr>
            <w:r>
              <w:rPr>
                <w:rFonts w:hint="default" w:ascii="Times New Roman" w:hAnsi="Times New Roman" w:cs="Times New Roman"/>
                <w:color w:val="auto"/>
                <w:kern w:val="2"/>
                <w:szCs w:val="24"/>
              </w:rPr>
              <w:t>施工</w:t>
            </w:r>
          </w:p>
          <w:p>
            <w:pPr>
              <w:pStyle w:val="20"/>
              <w:adjustRightInd w:val="0"/>
              <w:snapToGrid w:val="0"/>
              <w:spacing w:before="0" w:beforeAutospacing="0" w:after="0" w:afterAutospacing="0"/>
              <w:jc w:val="center"/>
              <w:rPr>
                <w:rFonts w:hint="default" w:ascii="Times New Roman" w:hAnsi="Times New Roman" w:cs="Times New Roman"/>
                <w:color w:val="auto"/>
                <w:kern w:val="2"/>
                <w:szCs w:val="24"/>
              </w:rPr>
            </w:pPr>
            <w:r>
              <w:rPr>
                <w:rFonts w:hint="default" w:ascii="Times New Roman" w:hAnsi="Times New Roman" w:cs="Times New Roman"/>
                <w:color w:val="auto"/>
                <w:kern w:val="2"/>
                <w:szCs w:val="24"/>
              </w:rPr>
              <w:t>期环</w:t>
            </w:r>
          </w:p>
          <w:p>
            <w:pPr>
              <w:pStyle w:val="20"/>
              <w:adjustRightInd w:val="0"/>
              <w:snapToGrid w:val="0"/>
              <w:spacing w:before="0" w:beforeAutospacing="0" w:after="0" w:afterAutospacing="0"/>
              <w:jc w:val="center"/>
              <w:rPr>
                <w:rFonts w:hint="default" w:ascii="Times New Roman" w:hAnsi="Times New Roman" w:cs="Times New Roman"/>
                <w:color w:val="auto"/>
                <w:kern w:val="2"/>
                <w:szCs w:val="24"/>
              </w:rPr>
            </w:pPr>
            <w:r>
              <w:rPr>
                <w:rFonts w:hint="default" w:ascii="Times New Roman" w:hAnsi="Times New Roman" w:cs="Times New Roman"/>
                <w:color w:val="auto"/>
                <w:kern w:val="2"/>
                <w:szCs w:val="24"/>
              </w:rPr>
              <w:t>境保</w:t>
            </w:r>
          </w:p>
          <w:p>
            <w:pPr>
              <w:pStyle w:val="20"/>
              <w:adjustRightInd w:val="0"/>
              <w:snapToGrid w:val="0"/>
              <w:spacing w:before="0" w:beforeAutospacing="0" w:after="0" w:afterAutospacing="0"/>
              <w:jc w:val="center"/>
              <w:rPr>
                <w:rFonts w:hint="default" w:ascii="Times New Roman" w:hAnsi="Times New Roman" w:cs="Times New Roman"/>
                <w:color w:val="auto"/>
                <w:kern w:val="2"/>
                <w:szCs w:val="24"/>
              </w:rPr>
            </w:pPr>
            <w:r>
              <w:rPr>
                <w:rFonts w:hint="default" w:ascii="Times New Roman" w:hAnsi="Times New Roman" w:cs="Times New Roman"/>
                <w:color w:val="auto"/>
                <w:kern w:val="2"/>
                <w:szCs w:val="24"/>
              </w:rPr>
              <w:t>护措</w:t>
            </w:r>
          </w:p>
          <w:p>
            <w:pPr>
              <w:pStyle w:val="20"/>
              <w:adjustRightInd w:val="0"/>
              <w:snapToGrid w:val="0"/>
              <w:spacing w:before="0" w:beforeAutospacing="0" w:after="0" w:afterAutospacing="0"/>
              <w:jc w:val="center"/>
              <w:rPr>
                <w:rFonts w:hint="default" w:ascii="Times New Roman" w:hAnsi="Times New Roman" w:cs="Times New Roman"/>
                <w:bCs/>
                <w:color w:val="auto"/>
                <w:kern w:val="2"/>
                <w:szCs w:val="24"/>
              </w:rPr>
            </w:pPr>
            <w:r>
              <w:rPr>
                <w:rFonts w:hint="default" w:ascii="Times New Roman" w:hAnsi="Times New Roman" w:cs="Times New Roman"/>
                <w:color w:val="auto"/>
                <w:kern w:val="2"/>
                <w:szCs w:val="24"/>
              </w:rPr>
              <w:t>施</w:t>
            </w:r>
          </w:p>
        </w:tc>
        <w:tc>
          <w:tcPr>
            <w:tcW w:w="8224" w:type="dxa"/>
            <w:noWrap w:val="0"/>
            <w:vAlign w:val="center"/>
          </w:tcPr>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rPr>
                <w:rFonts w:hint="default" w:ascii="Times New Roman" w:hAnsi="Times New Roman" w:cs="Times New Roman"/>
              </w:rPr>
            </w:pPr>
            <w:r>
              <w:rPr>
                <w:rFonts w:hint="default" w:ascii="Times New Roman" w:hAnsi="Times New Roman" w:cs="Times New Roman"/>
              </w:rPr>
              <w:t>本项目施工期主要为基础开挖、主体工程建设、设备安</w:t>
            </w:r>
            <w:r>
              <w:rPr>
                <w:rFonts w:hint="default" w:ascii="Times New Roman" w:hAnsi="Times New Roman" w:cs="Times New Roman"/>
                <w:color w:val="FF0000"/>
                <w:highlight w:val="none"/>
              </w:rPr>
              <w:t>装，采取</w:t>
            </w:r>
            <w:r>
              <w:rPr>
                <w:rFonts w:hint="eastAsia" w:ascii="Times New Roman" w:hAnsi="Times New Roman" w:cs="Times New Roman"/>
                <w:color w:val="FF0000"/>
                <w:highlight w:val="none"/>
                <w:lang w:val="en-US" w:eastAsia="zh-CN"/>
              </w:rPr>
              <w:t>相应</w:t>
            </w:r>
            <w:r>
              <w:rPr>
                <w:rFonts w:hint="default" w:ascii="Times New Roman" w:hAnsi="Times New Roman" w:cs="Times New Roman"/>
                <w:color w:val="FF0000"/>
                <w:highlight w:val="none"/>
              </w:rPr>
              <w:t>措施后，对周围环境不会造成太大影响。</w:t>
            </w:r>
          </w:p>
          <w:p>
            <w:pPr>
              <w:pStyle w:val="6"/>
              <w:bidi w:val="0"/>
              <w:ind w:left="0" w:leftChars="0" w:firstLine="0" w:firstLineChars="0"/>
              <w:rPr>
                <w:rFonts w:hint="default" w:ascii="Times New Roman" w:hAnsi="Times New Roman" w:cs="Times New Roman"/>
                <w:b/>
                <w:bCs/>
              </w:rPr>
            </w:pPr>
            <w:r>
              <w:rPr>
                <w:rFonts w:hint="default" w:ascii="Times New Roman" w:hAnsi="Times New Roman" w:cs="Times New Roman"/>
                <w:b/>
                <w:bCs/>
              </w:rPr>
              <w:t>1、废气影响分析</w:t>
            </w:r>
          </w:p>
          <w:p>
            <w:pPr>
              <w:pStyle w:val="6"/>
              <w:bidi w:val="0"/>
              <w:rPr>
                <w:rFonts w:hint="default" w:ascii="Times New Roman" w:hAnsi="Times New Roman" w:cs="Times New Roman"/>
              </w:rPr>
            </w:pPr>
            <w:r>
              <w:rPr>
                <w:rFonts w:hint="default" w:ascii="Times New Roman" w:hAnsi="Times New Roman" w:cs="Times New Roman"/>
              </w:rPr>
              <w:t>（1）施工临时土方扬尘影响分析</w:t>
            </w:r>
          </w:p>
          <w:p>
            <w:pPr>
              <w:pStyle w:val="6"/>
              <w:bidi w:val="0"/>
              <w:rPr>
                <w:rFonts w:hint="default" w:ascii="Times New Roman" w:hAnsi="Times New Roman" w:cs="Times New Roman"/>
              </w:rPr>
            </w:pPr>
            <w:r>
              <w:rPr>
                <w:rFonts w:hint="default" w:ascii="Times New Roman" w:hAnsi="Times New Roman" w:cs="Times New Roman"/>
              </w:rPr>
              <w:t>施工期临时土方扬尘属于瞬时源，产生的高度都比较低，粉尘颗粒也比较大，污染扩散的距离不会很远，而且主要对施工人员影响较大。</w:t>
            </w:r>
          </w:p>
          <w:p>
            <w:pPr>
              <w:pStyle w:val="6"/>
              <w:bidi w:val="0"/>
              <w:rPr>
                <w:rFonts w:hint="default" w:ascii="Times New Roman" w:hAnsi="Times New Roman" w:cs="Times New Roman"/>
                <w:highlight w:val="none"/>
              </w:rPr>
            </w:pPr>
            <w:r>
              <w:rPr>
                <w:rFonts w:hint="default" w:ascii="Times New Roman" w:hAnsi="Times New Roman" w:cs="Times New Roman"/>
              </w:rPr>
              <w:t>本项目在填挖方施工阶段裸露浮土较多，产尘量较大。施工场地下风向的居民区受影响较大。施工期起尘量的多少与风力的大小、物料的干湿程度、作业的文明程度等因素发生较大的变化，影响范围为100～300m</w:t>
            </w:r>
            <w:r>
              <w:rPr>
                <w:rFonts w:hint="default" w:ascii="Times New Roman" w:hAnsi="Times New Roman" w:cs="Times New Roman"/>
                <w:color w:val="FF0000"/>
              </w:rPr>
              <w:t>。</w:t>
            </w:r>
            <w:r>
              <w:rPr>
                <w:rFonts w:hint="default" w:eastAsia="宋体" w:cs="Times New Roman"/>
                <w:color w:val="FF0000"/>
                <w:highlight w:val="none"/>
                <w:lang w:val="en-US" w:eastAsia="zh-CN"/>
              </w:rPr>
              <w:t>项目</w:t>
            </w:r>
            <w:r>
              <w:rPr>
                <w:rFonts w:hint="default" w:ascii="Times New Roman" w:hAnsi="Times New Roman" w:cs="Times New Roman"/>
                <w:color w:val="FF0000"/>
                <w:highlight w:val="none"/>
              </w:rPr>
              <w:t>施工场地</w:t>
            </w:r>
            <w:r>
              <w:rPr>
                <w:rFonts w:hint="eastAsia" w:cs="Times New Roman"/>
                <w:color w:val="FF0000"/>
                <w:highlight w:val="none"/>
                <w:lang w:val="en-US" w:eastAsia="zh-CN"/>
              </w:rPr>
              <w:t>位于丰乐移民新村常年主导风向下风向和附近敏感点居户的常年主导风向测风向，</w:t>
            </w:r>
            <w:r>
              <w:rPr>
                <w:rFonts w:hint="default" w:ascii="Times New Roman" w:hAnsi="Times New Roman" w:cs="Times New Roman"/>
                <w:color w:val="FF0000"/>
                <w:sz w:val="24"/>
                <w:szCs w:val="24"/>
                <w:highlight w:val="none"/>
                <w:lang w:val="en-US" w:eastAsia="zh-CN"/>
              </w:rPr>
              <w:t>距离</w:t>
            </w:r>
            <w:r>
              <w:rPr>
                <w:rFonts w:hint="eastAsia" w:ascii="Times New Roman" w:hAnsi="Times New Roman" w:cs="Times New Roman"/>
                <w:color w:val="FF0000"/>
                <w:sz w:val="24"/>
                <w:szCs w:val="24"/>
                <w:highlight w:val="none"/>
                <w:lang w:val="en-US" w:eastAsia="zh-CN"/>
              </w:rPr>
              <w:t>镇区</w:t>
            </w:r>
            <w:r>
              <w:rPr>
                <w:rFonts w:hint="default" w:ascii="Times New Roman" w:hAnsi="Times New Roman" w:cs="Times New Roman"/>
                <w:color w:val="FF0000"/>
                <w:sz w:val="24"/>
                <w:szCs w:val="24"/>
                <w:highlight w:val="none"/>
                <w:lang w:val="en-US" w:eastAsia="zh-CN"/>
              </w:rPr>
              <w:t>居民区较远</w:t>
            </w:r>
            <w:r>
              <w:rPr>
                <w:rFonts w:hint="default" w:ascii="Times New Roman" w:hAnsi="Times New Roman" w:cs="Times New Roman"/>
                <w:color w:val="FF0000"/>
                <w:highlight w:val="none"/>
              </w:rPr>
              <w:t>，施工场地四周设置围挡</w:t>
            </w:r>
            <w:r>
              <w:rPr>
                <w:rFonts w:hint="eastAsia"/>
                <w:color w:val="FF0000"/>
                <w:szCs w:val="21"/>
                <w:highlight w:val="none"/>
                <w:lang w:eastAsia="zh-CN"/>
              </w:rPr>
              <w:t>，</w:t>
            </w:r>
            <w:r>
              <w:rPr>
                <w:rFonts w:hint="eastAsia"/>
                <w:color w:val="FF0000"/>
                <w:szCs w:val="21"/>
                <w:highlight w:val="none"/>
                <w:lang w:val="en-US" w:eastAsia="zh-CN"/>
              </w:rPr>
              <w:t>可</w:t>
            </w:r>
            <w:r>
              <w:rPr>
                <w:rFonts w:hint="default" w:ascii="Times New Roman" w:hAnsi="Times New Roman" w:cs="Times New Roman"/>
                <w:color w:val="FF0000"/>
                <w:highlight w:val="none"/>
              </w:rPr>
              <w:t>减小施工粉尘扩散</w:t>
            </w:r>
            <w:r>
              <w:rPr>
                <w:rFonts w:hint="eastAsia" w:ascii="Times New Roman" w:hAnsi="Times New Roman" w:cs="Times New Roman"/>
                <w:color w:val="FF0000"/>
                <w:highlight w:val="none"/>
                <w:lang w:val="en-US" w:eastAsia="zh-CN"/>
              </w:rPr>
              <w:t>对</w:t>
            </w:r>
            <w:r>
              <w:rPr>
                <w:rFonts w:hint="default" w:ascii="Times New Roman" w:hAnsi="Times New Roman" w:cs="Times New Roman"/>
                <w:color w:val="FF0000"/>
                <w:highlight w:val="none"/>
              </w:rPr>
              <w:t>周围环境</w:t>
            </w:r>
            <w:r>
              <w:rPr>
                <w:rFonts w:hint="eastAsia" w:ascii="Times New Roman" w:hAnsi="Times New Roman" w:cs="Times New Roman"/>
                <w:color w:val="FF0000"/>
                <w:highlight w:val="none"/>
                <w:lang w:val="en-US" w:eastAsia="zh-CN"/>
              </w:rPr>
              <w:t>和</w:t>
            </w:r>
            <w:r>
              <w:rPr>
                <w:rFonts w:hint="default" w:ascii="Times New Roman" w:hAnsi="Times New Roman" w:cs="Times New Roman"/>
                <w:color w:val="FF0000"/>
                <w:highlight w:val="none"/>
              </w:rPr>
              <w:t>周边居民</w:t>
            </w:r>
            <w:r>
              <w:rPr>
                <w:rFonts w:hint="eastAsia" w:ascii="Times New Roman" w:hAnsi="Times New Roman" w:cs="Times New Roman"/>
                <w:color w:val="FF0000"/>
                <w:highlight w:val="none"/>
                <w:lang w:val="en-US" w:eastAsia="zh-CN"/>
              </w:rPr>
              <w:t>的影响</w:t>
            </w:r>
            <w:r>
              <w:rPr>
                <w:rFonts w:hint="default" w:ascii="Times New Roman" w:hAnsi="Times New Roman" w:cs="Times New Roman"/>
                <w:color w:val="FF0000"/>
                <w:highlight w:val="none"/>
              </w:rPr>
              <w:t>。</w:t>
            </w:r>
          </w:p>
          <w:p>
            <w:pPr>
              <w:pStyle w:val="6"/>
              <w:bidi w:val="0"/>
              <w:rPr>
                <w:rFonts w:hint="default" w:ascii="Times New Roman" w:hAnsi="Times New Roman" w:cs="Times New Roman"/>
              </w:rPr>
            </w:pPr>
            <w:r>
              <w:rPr>
                <w:rFonts w:hint="default" w:ascii="Times New Roman" w:hAnsi="Times New Roman" w:cs="Times New Roman"/>
              </w:rPr>
              <w:t>（2）建筑材料扬尘影响分析</w:t>
            </w:r>
          </w:p>
          <w:p>
            <w:pPr>
              <w:pStyle w:val="6"/>
              <w:bidi w:val="0"/>
              <w:rPr>
                <w:rFonts w:hint="default" w:ascii="Times New Roman" w:hAnsi="Times New Roman" w:cs="Times New Roman"/>
              </w:rPr>
            </w:pPr>
            <w:r>
              <w:rPr>
                <w:rFonts w:hint="default" w:ascii="Times New Roman" w:hAnsi="Times New Roman" w:cs="Times New Roman"/>
              </w:rPr>
              <w:t>建筑材料主要是水泥等易起尘物料在装卸、堆放和使用过程会产生扬尘，应全部入库贮存，运输车辆应入库装卸，临时堆放物料要覆盖篷布，采取上述措施后可明显减小物料产尘影响。</w:t>
            </w:r>
          </w:p>
          <w:p>
            <w:pPr>
              <w:pStyle w:val="6"/>
              <w:bidi w:val="0"/>
              <w:rPr>
                <w:rFonts w:hint="default" w:ascii="Times New Roman" w:hAnsi="Times New Roman" w:cs="Times New Roman"/>
              </w:rPr>
            </w:pPr>
            <w:r>
              <w:rPr>
                <w:rFonts w:hint="default" w:ascii="Times New Roman" w:hAnsi="Times New Roman" w:cs="Times New Roman"/>
              </w:rPr>
              <w:t>（3）道路扬尘影响分析</w:t>
            </w:r>
          </w:p>
          <w:p>
            <w:pPr>
              <w:pStyle w:val="6"/>
              <w:bidi w:val="0"/>
              <w:rPr>
                <w:rFonts w:hint="default" w:ascii="Times New Roman" w:hAnsi="Times New Roman" w:cs="Times New Roman"/>
              </w:rPr>
            </w:pPr>
            <w:r>
              <w:rPr>
                <w:rFonts w:hint="default" w:ascii="Times New Roman" w:hAnsi="Times New Roman" w:cs="Times New Roman"/>
              </w:rPr>
              <w:t>本项目在运输道路选择上，尽量利用现有公路，确保运输扬尘不影响周边环境。同时要求施工单位必须按要求在限制运输车辆行驶路线和运输时段的同时，采用密封车辆、加盖蓬布防止泥土洒落地面和采取车辆冲洗及地面洒水等防范措施，并且及时对周围运输道路进行清扫和洒水，以减少道路扬尘对周围环境的污染影响。</w:t>
            </w:r>
          </w:p>
          <w:p>
            <w:pPr>
              <w:pStyle w:val="6"/>
              <w:bidi w:val="0"/>
              <w:rPr>
                <w:rFonts w:hint="default" w:ascii="Times New Roman" w:hAnsi="Times New Roman" w:cs="Times New Roman"/>
              </w:rPr>
            </w:pPr>
            <w:r>
              <w:rPr>
                <w:rFonts w:hint="default" w:ascii="Times New Roman" w:hAnsi="Times New Roman" w:cs="Times New Roman"/>
              </w:rPr>
              <w:t>（4）施工机械、运输车辆尾气</w:t>
            </w:r>
          </w:p>
          <w:p>
            <w:pPr>
              <w:pStyle w:val="6"/>
              <w:bidi w:val="0"/>
              <w:rPr>
                <w:rFonts w:hint="default" w:ascii="Times New Roman" w:hAnsi="Times New Roman" w:cs="Times New Roman"/>
              </w:rPr>
            </w:pPr>
            <w:r>
              <w:rPr>
                <w:rFonts w:hint="default" w:ascii="Times New Roman" w:hAnsi="Times New Roman" w:cs="Times New Roman"/>
              </w:rPr>
              <w:t>施工期间燃油机械设备较多，对燃柴油的大型运输车辆、推土机、装载机等需安装尾气净化器，尾气应达标排放。运输车辆禁止超载，不得使用劣质燃料。对车辆的尾气排放进行监督管理，严格执行汽车排污监管办法和汽车排放监测制度。</w:t>
            </w:r>
          </w:p>
          <w:p>
            <w:pPr>
              <w:pStyle w:val="6"/>
              <w:bidi w:val="0"/>
              <w:ind w:left="0" w:leftChars="0" w:firstLine="0" w:firstLineChars="0"/>
              <w:rPr>
                <w:rFonts w:hint="default" w:ascii="Times New Roman" w:hAnsi="Times New Roman" w:cs="Times New Roman"/>
                <w:b/>
                <w:bCs/>
              </w:rPr>
            </w:pPr>
            <w:r>
              <w:rPr>
                <w:rFonts w:hint="default" w:ascii="Times New Roman" w:hAnsi="Times New Roman" w:cs="Times New Roman"/>
                <w:b/>
                <w:bCs/>
              </w:rPr>
              <w:t>2、废水影响分析</w:t>
            </w:r>
          </w:p>
          <w:p>
            <w:pPr>
              <w:pStyle w:val="6"/>
              <w:bidi w:val="0"/>
              <w:rPr>
                <w:rFonts w:hint="default" w:ascii="Times New Roman" w:hAnsi="Times New Roman" w:cs="Times New Roman"/>
              </w:rPr>
            </w:pPr>
            <w:r>
              <w:rPr>
                <w:rFonts w:hint="default" w:ascii="Times New Roman" w:hAnsi="Times New Roman" w:cs="Times New Roman"/>
              </w:rPr>
              <w:t>（1）施工废水</w:t>
            </w:r>
          </w:p>
          <w:p>
            <w:pPr>
              <w:pStyle w:val="6"/>
              <w:bidi w:val="0"/>
              <w:rPr>
                <w:rFonts w:hint="default" w:ascii="Times New Roman" w:hAnsi="Times New Roman" w:cs="Times New Roman"/>
              </w:rPr>
            </w:pPr>
            <w:r>
              <w:rPr>
                <w:rFonts w:hint="default" w:ascii="Times New Roman" w:hAnsi="Times New Roman" w:cs="Times New Roman"/>
              </w:rPr>
              <w:t>本项目施工废水经过临时沉淀池处理后回用于施工工程。</w:t>
            </w:r>
          </w:p>
          <w:p>
            <w:pPr>
              <w:pStyle w:val="6"/>
              <w:bidi w:val="0"/>
              <w:rPr>
                <w:rFonts w:hint="default" w:ascii="Times New Roman" w:hAnsi="Times New Roman" w:cs="Times New Roman"/>
              </w:rPr>
            </w:pPr>
            <w:r>
              <w:rPr>
                <w:rFonts w:hint="default" w:ascii="Times New Roman" w:hAnsi="Times New Roman" w:cs="Times New Roman"/>
              </w:rPr>
              <w:t>（2）施工生活污水</w:t>
            </w:r>
          </w:p>
          <w:p>
            <w:pPr>
              <w:pStyle w:val="6"/>
              <w:bidi w:val="0"/>
              <w:rPr>
                <w:rFonts w:hint="default" w:ascii="Times New Roman" w:hAnsi="Times New Roman" w:cs="Times New Roman"/>
              </w:rPr>
            </w:pPr>
            <w:r>
              <w:rPr>
                <w:rFonts w:hint="default" w:ascii="Times New Roman" w:hAnsi="Times New Roman" w:cs="Times New Roman"/>
              </w:rPr>
              <w:t>本项目施工人员产生的生活废水量为</w:t>
            </w:r>
            <w:r>
              <w:rPr>
                <w:rFonts w:hint="default" w:ascii="Times New Roman" w:hAnsi="Times New Roman" w:cs="Times New Roman"/>
                <w:lang w:val="en-US" w:eastAsia="zh-CN"/>
              </w:rPr>
              <w:t>108</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，生活污水排入化粪池，定期清掏。</w:t>
            </w:r>
          </w:p>
          <w:p>
            <w:pPr>
              <w:pStyle w:val="6"/>
              <w:bidi w:val="0"/>
              <w:rPr>
                <w:rFonts w:hint="default" w:ascii="Times New Roman" w:hAnsi="Times New Roman" w:cs="Times New Roman"/>
              </w:rPr>
            </w:pPr>
            <w:r>
              <w:rPr>
                <w:rFonts w:hint="default" w:ascii="Times New Roman" w:hAnsi="Times New Roman" w:cs="Times New Roman"/>
              </w:rPr>
              <w:t>因此施工期污水对环境影响较小。</w:t>
            </w:r>
          </w:p>
          <w:p>
            <w:pPr>
              <w:pStyle w:val="6"/>
              <w:bidi w:val="0"/>
              <w:ind w:left="0" w:leftChars="0" w:firstLine="0" w:firstLineChars="0"/>
              <w:rPr>
                <w:rFonts w:hint="default" w:ascii="Times New Roman" w:hAnsi="Times New Roman" w:cs="Times New Roman"/>
                <w:b/>
                <w:bCs/>
              </w:rPr>
            </w:pPr>
            <w:r>
              <w:rPr>
                <w:rFonts w:hint="default" w:ascii="Times New Roman" w:hAnsi="Times New Roman" w:cs="Times New Roman"/>
                <w:b/>
                <w:bCs/>
              </w:rPr>
              <w:t>3、噪声影响分析</w:t>
            </w:r>
          </w:p>
          <w:p>
            <w:pPr>
              <w:pStyle w:val="6"/>
              <w:bidi w:val="0"/>
              <w:rPr>
                <w:rFonts w:hint="default" w:ascii="Times New Roman" w:hAnsi="Times New Roman" w:cs="Times New Roman"/>
              </w:rPr>
            </w:pPr>
            <w:r>
              <w:rPr>
                <w:rFonts w:hint="default" w:ascii="Times New Roman" w:hAnsi="Times New Roman" w:cs="Times New Roman"/>
              </w:rPr>
              <w:t>为减轻施工期噪声对周围环境影响，建设单位应严格按照噪声污染防止管理的有关规定，采取一下措施：</w:t>
            </w:r>
          </w:p>
          <w:p>
            <w:pPr>
              <w:pStyle w:val="6"/>
              <w:bidi w:val="0"/>
              <w:rPr>
                <w:rFonts w:hint="default" w:ascii="Times New Roman" w:hAnsi="Times New Roman" w:cs="Times New Roman"/>
              </w:rPr>
            </w:pPr>
            <w:r>
              <w:rPr>
                <w:rFonts w:hint="default" w:ascii="Times New Roman" w:hAnsi="Times New Roman" w:cs="Times New Roman"/>
              </w:rPr>
              <w:t>（1）施工现场合理布局，以避免局部声级过高，尽可能将施工阶段的噪声减至最小。</w:t>
            </w:r>
          </w:p>
          <w:p>
            <w:pPr>
              <w:pStyle w:val="6"/>
              <w:bidi w:val="0"/>
              <w:rPr>
                <w:rFonts w:hint="default" w:ascii="Times New Roman" w:hAnsi="Times New Roman" w:cs="Times New Roman"/>
              </w:rPr>
            </w:pPr>
            <w:r>
              <w:rPr>
                <w:rFonts w:hint="default" w:ascii="Times New Roman" w:hAnsi="Times New Roman" w:cs="Times New Roman"/>
              </w:rPr>
              <w:t>（2）现场施工人员要严加管理，在施工建设时要防止互相撞击噪声，要文明施工。</w:t>
            </w:r>
          </w:p>
          <w:p>
            <w:pPr>
              <w:pStyle w:val="6"/>
              <w:bidi w:val="0"/>
              <w:rPr>
                <w:rFonts w:hint="default" w:ascii="Times New Roman" w:hAnsi="Times New Roman" w:cs="Times New Roman"/>
                <w:color w:val="FF0000"/>
              </w:rPr>
            </w:pPr>
            <w:r>
              <w:rPr>
                <w:rFonts w:hint="default" w:ascii="Times New Roman" w:hAnsi="Times New Roman" w:cs="Times New Roman"/>
                <w:color w:val="FF0000"/>
              </w:rPr>
              <w:t>（3）制定合理的施工计划，中午（12:00~14:00）及夜间（22:00~次日6:00）禁止施工，避免影响周边居民。</w:t>
            </w:r>
          </w:p>
          <w:p>
            <w:pPr>
              <w:pStyle w:val="6"/>
              <w:bidi w:val="0"/>
              <w:ind w:left="0" w:leftChars="0" w:firstLine="0" w:firstLineChars="0"/>
              <w:rPr>
                <w:rFonts w:hint="default" w:ascii="Times New Roman" w:hAnsi="Times New Roman" w:cs="Times New Roman"/>
                <w:b/>
                <w:bCs/>
              </w:rPr>
            </w:pPr>
            <w:r>
              <w:rPr>
                <w:rFonts w:hint="default" w:ascii="Times New Roman" w:hAnsi="Times New Roman" w:cs="Times New Roman"/>
                <w:b/>
                <w:bCs/>
              </w:rPr>
              <w:t>4、固体废物影响分析</w:t>
            </w:r>
          </w:p>
          <w:p>
            <w:pPr>
              <w:pStyle w:val="6"/>
              <w:bidi w:val="0"/>
              <w:rPr>
                <w:rFonts w:hint="default" w:ascii="Times New Roman" w:hAnsi="Times New Roman" w:cs="Times New Roman"/>
              </w:rPr>
            </w:pPr>
            <w:r>
              <w:rPr>
                <w:rFonts w:hint="default" w:ascii="Times New Roman" w:hAnsi="Times New Roman" w:cs="Times New Roman"/>
              </w:rPr>
              <w:t>本项目施工期固废包括建筑垃圾、施工弃方、生活垃圾。</w:t>
            </w:r>
          </w:p>
          <w:p>
            <w:pPr>
              <w:pStyle w:val="6"/>
              <w:bidi w:val="0"/>
              <w:rPr>
                <w:rFonts w:hint="default" w:ascii="Times New Roman" w:hAnsi="Times New Roman" w:cs="Times New Roman"/>
              </w:rPr>
            </w:pPr>
            <w:r>
              <w:rPr>
                <w:rFonts w:hint="default" w:ascii="Times New Roman" w:hAnsi="Times New Roman" w:cs="Times New Roman"/>
              </w:rPr>
              <w:t>（1）建筑垃圾</w:t>
            </w:r>
          </w:p>
          <w:p>
            <w:pPr>
              <w:pStyle w:val="6"/>
              <w:bidi w:val="0"/>
              <w:rPr>
                <w:rFonts w:hint="default" w:ascii="Times New Roman" w:hAnsi="Times New Roman" w:cs="Times New Roman"/>
              </w:rPr>
            </w:pPr>
            <w:r>
              <w:rPr>
                <w:rFonts w:hint="default" w:ascii="Times New Roman" w:hAnsi="Times New Roman" w:cs="Times New Roman"/>
              </w:rPr>
              <w:t>本项目施工期建筑物建设过程中会产生大量的建筑垃圾，建筑垃圾按照当地环卫部门要求进行处置，日产日清。</w:t>
            </w:r>
          </w:p>
          <w:p>
            <w:pPr>
              <w:pStyle w:val="6"/>
              <w:bidi w:val="0"/>
              <w:rPr>
                <w:rFonts w:hint="default" w:ascii="Times New Roman" w:hAnsi="Times New Roman" w:cs="Times New Roman"/>
              </w:rPr>
            </w:pPr>
            <w:r>
              <w:rPr>
                <w:rFonts w:hint="default" w:ascii="Times New Roman" w:hAnsi="Times New Roman" w:cs="Times New Roman"/>
              </w:rPr>
              <w:t>（2）施工弃方</w:t>
            </w:r>
          </w:p>
          <w:p>
            <w:pPr>
              <w:pStyle w:val="6"/>
              <w:bidi w:val="0"/>
              <w:rPr>
                <w:rFonts w:hint="default" w:ascii="Times New Roman" w:hAnsi="Times New Roman" w:cs="Times New Roman"/>
              </w:rPr>
            </w:pPr>
            <w:r>
              <w:rPr>
                <w:rFonts w:hint="default" w:ascii="Times New Roman" w:hAnsi="Times New Roman" w:cs="Times New Roman"/>
              </w:rPr>
              <w:t>本项目在建设初期会产生大量的施工弃土</w:t>
            </w:r>
            <w:r>
              <w:rPr>
                <w:rFonts w:hint="default" w:ascii="Times New Roman" w:hAnsi="Times New Roman" w:cs="Times New Roman"/>
                <w:color w:val="FF0000"/>
                <w:highlight w:val="none"/>
              </w:rPr>
              <w:t>，施工弃方按照当地环卫部门的要求进行处置</w:t>
            </w:r>
            <w:r>
              <w:rPr>
                <w:rFonts w:hint="eastAsia" w:ascii="Times New Roman" w:hAnsi="Times New Roman" w:cs="Times New Roman"/>
                <w:color w:val="FF0000"/>
                <w:highlight w:val="none"/>
                <w:lang w:eastAsia="zh-CN"/>
              </w:rPr>
              <w:t>，</w:t>
            </w:r>
            <w:r>
              <w:rPr>
                <w:rFonts w:hint="eastAsia" w:ascii="Times New Roman" w:hAnsi="Times New Roman" w:cs="Times New Roman"/>
                <w:color w:val="FF0000"/>
                <w:highlight w:val="none"/>
                <w:lang w:val="en-US" w:eastAsia="zh-CN"/>
              </w:rPr>
              <w:t>及时清运或回填</w:t>
            </w:r>
            <w:r>
              <w:rPr>
                <w:rFonts w:hint="default" w:ascii="Times New Roman" w:hAnsi="Times New Roman" w:cs="Times New Roman"/>
                <w:color w:val="FF0000"/>
                <w:highlight w:val="none"/>
              </w:rPr>
              <w:t>。</w:t>
            </w:r>
          </w:p>
          <w:p>
            <w:pPr>
              <w:pStyle w:val="6"/>
              <w:bidi w:val="0"/>
              <w:rPr>
                <w:rFonts w:hint="default" w:ascii="Times New Roman" w:hAnsi="Times New Roman" w:cs="Times New Roman"/>
              </w:rPr>
            </w:pPr>
            <w:r>
              <w:rPr>
                <w:rFonts w:hint="default" w:ascii="Times New Roman" w:hAnsi="Times New Roman" w:cs="Times New Roman"/>
              </w:rPr>
              <w:t>（3）生活垃圾</w:t>
            </w:r>
          </w:p>
          <w:p>
            <w:pPr>
              <w:pStyle w:val="6"/>
              <w:bidi w:val="0"/>
              <w:rPr>
                <w:rFonts w:hint="default" w:ascii="Times New Roman" w:hAnsi="Times New Roman" w:cs="Times New Roman"/>
              </w:rPr>
            </w:pPr>
            <w:r>
              <w:rPr>
                <w:rFonts w:hint="default" w:ascii="Times New Roman" w:hAnsi="Times New Roman" w:cs="Times New Roman"/>
              </w:rPr>
              <w:t>本项目施工期施工人员产生的生活垃圾经垃圾桶收集后，由当地环卫部门定期清运。</w:t>
            </w:r>
          </w:p>
          <w:p>
            <w:pPr>
              <w:pStyle w:val="6"/>
              <w:bidi w:val="0"/>
              <w:rPr>
                <w:rFonts w:hint="default" w:ascii="Times New Roman" w:hAnsi="Times New Roman" w:cs="Times New Roman"/>
                <w:bCs/>
                <w:color w:val="auto"/>
                <w:spacing w:val="-10"/>
                <w:szCs w:val="24"/>
              </w:rPr>
            </w:pPr>
            <w:r>
              <w:rPr>
                <w:rFonts w:hint="default" w:ascii="Times New Roman" w:hAnsi="Times New Roman" w:cs="Times New Roman"/>
              </w:rPr>
              <w:t>综上所述，本项目施工弃渣经妥善、及时处置后不会对周边环境产生较大影响。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noWrap w:val="0"/>
            <w:tcMar>
              <w:left w:w="28" w:type="dxa"/>
              <w:right w:w="28" w:type="dxa"/>
            </w:tcMar>
            <w:vAlign w:val="center"/>
          </w:tcPr>
          <w:p>
            <w:pPr>
              <w:adjustRightInd w:val="0"/>
              <w:snapToGrid w:val="0"/>
              <w:jc w:val="center"/>
              <w:rPr>
                <w:rFonts w:hint="default" w:ascii="Times New Roman" w:hAnsi="Times New Roman" w:cs="Times New Roman"/>
                <w:bCs/>
                <w:color w:val="auto"/>
                <w:sz w:val="24"/>
              </w:rPr>
            </w:pPr>
            <w:r>
              <w:rPr>
                <w:rFonts w:hint="default" w:ascii="Times New Roman" w:hAnsi="Times New Roman" w:cs="Times New Roman"/>
                <w:bCs/>
                <w:color w:val="auto"/>
                <w:sz w:val="24"/>
              </w:rPr>
              <w:t>运营</w:t>
            </w:r>
          </w:p>
          <w:p>
            <w:pPr>
              <w:adjustRightInd w:val="0"/>
              <w:snapToGrid w:val="0"/>
              <w:jc w:val="center"/>
              <w:rPr>
                <w:rFonts w:hint="default" w:ascii="Times New Roman" w:hAnsi="Times New Roman" w:cs="Times New Roman"/>
                <w:bCs/>
                <w:color w:val="auto"/>
                <w:sz w:val="24"/>
              </w:rPr>
            </w:pPr>
            <w:r>
              <w:rPr>
                <w:rFonts w:hint="default" w:ascii="Times New Roman" w:hAnsi="Times New Roman" w:cs="Times New Roman"/>
                <w:bCs/>
                <w:color w:val="auto"/>
                <w:sz w:val="24"/>
              </w:rPr>
              <w:t>期环</w:t>
            </w:r>
          </w:p>
          <w:p>
            <w:pPr>
              <w:adjustRightInd w:val="0"/>
              <w:snapToGrid w:val="0"/>
              <w:jc w:val="center"/>
              <w:rPr>
                <w:rFonts w:hint="default" w:ascii="Times New Roman" w:hAnsi="Times New Roman" w:cs="Times New Roman"/>
                <w:bCs/>
                <w:color w:val="auto"/>
                <w:sz w:val="24"/>
              </w:rPr>
            </w:pPr>
            <w:r>
              <w:rPr>
                <w:rFonts w:hint="default" w:ascii="Times New Roman" w:hAnsi="Times New Roman" w:cs="Times New Roman"/>
                <w:bCs/>
                <w:color w:val="auto"/>
                <w:sz w:val="24"/>
              </w:rPr>
              <w:t>境影</w:t>
            </w:r>
          </w:p>
          <w:p>
            <w:pPr>
              <w:adjustRightInd w:val="0"/>
              <w:snapToGrid w:val="0"/>
              <w:jc w:val="center"/>
              <w:rPr>
                <w:rFonts w:hint="default" w:ascii="Times New Roman" w:hAnsi="Times New Roman" w:cs="Times New Roman"/>
                <w:bCs/>
                <w:color w:val="auto"/>
                <w:sz w:val="24"/>
              </w:rPr>
            </w:pPr>
            <w:r>
              <w:rPr>
                <w:rFonts w:hint="default" w:ascii="Times New Roman" w:hAnsi="Times New Roman" w:cs="Times New Roman"/>
                <w:bCs/>
                <w:color w:val="auto"/>
                <w:sz w:val="24"/>
              </w:rPr>
              <w:t>响和</w:t>
            </w:r>
          </w:p>
          <w:p>
            <w:pPr>
              <w:adjustRightInd w:val="0"/>
              <w:snapToGrid w:val="0"/>
              <w:jc w:val="center"/>
              <w:rPr>
                <w:rFonts w:hint="default" w:ascii="Times New Roman" w:hAnsi="Times New Roman" w:cs="Times New Roman"/>
                <w:bCs/>
                <w:color w:val="auto"/>
                <w:sz w:val="24"/>
              </w:rPr>
            </w:pPr>
            <w:r>
              <w:rPr>
                <w:rFonts w:hint="default" w:ascii="Times New Roman" w:hAnsi="Times New Roman" w:cs="Times New Roman"/>
                <w:bCs/>
                <w:color w:val="auto"/>
                <w:sz w:val="24"/>
              </w:rPr>
              <w:t>保护</w:t>
            </w:r>
          </w:p>
          <w:p>
            <w:pPr>
              <w:pStyle w:val="20"/>
              <w:adjustRightInd w:val="0"/>
              <w:snapToGrid w:val="0"/>
              <w:spacing w:before="0" w:beforeAutospacing="0" w:after="0" w:afterAutospacing="0"/>
              <w:jc w:val="center"/>
              <w:rPr>
                <w:rFonts w:hint="default" w:ascii="Times New Roman" w:hAnsi="Times New Roman" w:cs="Times New Roman"/>
                <w:color w:val="auto"/>
                <w:kern w:val="2"/>
                <w:szCs w:val="24"/>
              </w:rPr>
            </w:pPr>
            <w:r>
              <w:rPr>
                <w:rFonts w:hint="default" w:ascii="Times New Roman" w:hAnsi="Times New Roman" w:cs="Times New Roman"/>
                <w:bCs/>
                <w:color w:val="auto"/>
                <w:szCs w:val="24"/>
              </w:rPr>
              <w:t>措施</w:t>
            </w:r>
          </w:p>
        </w:tc>
        <w:tc>
          <w:tcPr>
            <w:tcW w:w="8224"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1、废气</w:t>
            </w:r>
          </w:p>
          <w:p>
            <w:pPr>
              <w:pStyle w:val="6"/>
              <w:bidi w:val="0"/>
              <w:rPr>
                <w:rFonts w:hint="default"/>
                <w:lang w:eastAsia="zh-CN"/>
              </w:rPr>
            </w:pPr>
            <w:r>
              <w:rPr>
                <w:rFonts w:hint="default"/>
                <w:lang w:eastAsia="zh-CN"/>
              </w:rPr>
              <w:t>（</w:t>
            </w:r>
            <w:r>
              <w:rPr>
                <w:rFonts w:hint="default"/>
                <w:lang w:val="en-US" w:eastAsia="zh-CN"/>
              </w:rPr>
              <w:t>1</w:t>
            </w:r>
            <w:r>
              <w:rPr>
                <w:rFonts w:hint="default"/>
                <w:lang w:eastAsia="zh-CN"/>
              </w:rPr>
              <w:t>）废气主要产排污环节、污染物种类、排放形式及污染治理设施</w:t>
            </w:r>
          </w:p>
          <w:p>
            <w:pPr>
              <w:pStyle w:val="6"/>
              <w:bidi w:val="0"/>
              <w:rPr>
                <w:rFonts w:hint="default" w:ascii="Times New Roman" w:hAnsi="Times New Roman" w:eastAsia="宋体" w:cs="Times New Roman"/>
              </w:rPr>
            </w:pPr>
            <w:r>
              <w:rPr>
                <w:rFonts w:hint="default"/>
              </w:rPr>
              <w:t>本项目运营期废气主</w:t>
            </w:r>
            <w:r>
              <w:rPr>
                <w:rFonts w:hint="default"/>
                <w:color w:val="auto"/>
              </w:rPr>
              <w:t>要为多味瓜子水煮烘干、原味瓜子炒制工序生物质燃料燃烧产生的燃烧废气；</w:t>
            </w:r>
            <w:r>
              <w:rPr>
                <w:rFonts w:hint="eastAsia" w:cs="Times New Roman"/>
                <w:color w:val="auto"/>
                <w:szCs w:val="21"/>
                <w:lang w:val="en-US" w:eastAsia="zh-CN"/>
              </w:rPr>
              <w:t>瓜子水煮、辣椒烘干工序</w:t>
            </w:r>
            <w:r>
              <w:rPr>
                <w:rFonts w:hint="default" w:ascii="Times New Roman" w:hAnsi="Times New Roman" w:cs="Times New Roman"/>
                <w:lang w:val="en-US" w:eastAsia="zh-CN"/>
              </w:rPr>
              <w:t>产生的</w:t>
            </w:r>
            <w:r>
              <w:rPr>
                <w:rFonts w:hint="default" w:ascii="Times New Roman" w:hAnsi="Times New Roman" w:eastAsia="宋体" w:cs="Times New Roman"/>
              </w:rPr>
              <w:t>香料异味、辛辣异味</w:t>
            </w:r>
            <w:r>
              <w:rPr>
                <w:rFonts w:hint="default" w:ascii="Times New Roman" w:hAnsi="Times New Roman" w:cs="Times New Roman"/>
                <w:lang w:eastAsia="zh-CN"/>
              </w:rPr>
              <w:t>；</w:t>
            </w:r>
            <w:r>
              <w:rPr>
                <w:rFonts w:hint="default" w:ascii="Times New Roman" w:hAnsi="Times New Roman" w:eastAsia="宋体" w:cs="Times New Roman"/>
              </w:rPr>
              <w:t>筛选</w:t>
            </w:r>
            <w:r>
              <w:rPr>
                <w:rFonts w:hint="eastAsia" w:ascii="Times New Roman" w:hAnsi="Times New Roman" w:cs="Times New Roman"/>
                <w:lang w:eastAsia="zh-CN"/>
              </w:rPr>
              <w:t>、</w:t>
            </w:r>
            <w:r>
              <w:rPr>
                <w:rFonts w:hint="eastAsia" w:ascii="Times New Roman" w:hAnsi="Times New Roman" w:cs="Times New Roman"/>
                <w:lang w:val="en-US" w:eastAsia="zh-CN"/>
              </w:rPr>
              <w:t>脱皮工序</w:t>
            </w:r>
            <w:r>
              <w:rPr>
                <w:rFonts w:hint="default" w:ascii="Times New Roman" w:hAnsi="Times New Roman" w:eastAsia="宋体" w:cs="Times New Roman"/>
              </w:rPr>
              <w:t>产生的废气。废气主要产污环节、污染物种类、排放形式及污染治理设施情况见表4-1。</w:t>
            </w:r>
          </w:p>
          <w:p>
            <w:pPr>
              <w:pStyle w:val="38"/>
              <w:bidi w:val="0"/>
              <w:rPr>
                <w:rFonts w:hint="default" w:ascii="Times New Roman" w:hAnsi="Times New Roman" w:cs="Times New Roman"/>
                <w:sz w:val="24"/>
                <w:szCs w:val="24"/>
              </w:rPr>
            </w:pPr>
            <w:r>
              <w:rPr>
                <w:rFonts w:hint="default" w:ascii="Times New Roman" w:hAnsi="Times New Roman" w:cs="Times New Roman"/>
                <w:sz w:val="24"/>
                <w:szCs w:val="24"/>
              </w:rPr>
              <w:t>表4-1 废气产排污节点、污染物及污染治理设施一览表</w:t>
            </w:r>
          </w:p>
          <w:tbl>
            <w:tblPr>
              <w:tblStyle w:val="24"/>
              <w:tblW w:w="78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6"/>
              <w:gridCol w:w="2031"/>
              <w:gridCol w:w="911"/>
              <w:gridCol w:w="1362"/>
              <w:gridCol w:w="1131"/>
              <w:gridCol w:w="7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6" w:type="dxa"/>
                  <w:vMerge w:val="restart"/>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废气产污环节</w:t>
                  </w:r>
                </w:p>
              </w:tc>
              <w:tc>
                <w:tcPr>
                  <w:tcW w:w="2031" w:type="dxa"/>
                  <w:vMerge w:val="restart"/>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污染物种类</w:t>
                  </w:r>
                </w:p>
              </w:tc>
              <w:tc>
                <w:tcPr>
                  <w:tcW w:w="911" w:type="dxa"/>
                  <w:vMerge w:val="restart"/>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排放形式</w:t>
                  </w:r>
                </w:p>
              </w:tc>
              <w:tc>
                <w:tcPr>
                  <w:tcW w:w="2493" w:type="dxa"/>
                  <w:gridSpan w:val="2"/>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污染治理措施</w:t>
                  </w:r>
                </w:p>
              </w:tc>
              <w:tc>
                <w:tcPr>
                  <w:tcW w:w="791" w:type="dxa"/>
                  <w:vMerge w:val="restart"/>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6" w:type="dxa"/>
                  <w:vMerge w:val="continue"/>
                  <w:vAlign w:val="center"/>
                </w:tcPr>
                <w:p>
                  <w:pPr>
                    <w:spacing w:line="240" w:lineRule="auto"/>
                    <w:jc w:val="center"/>
                    <w:rPr>
                      <w:rFonts w:hint="default" w:ascii="Times New Roman" w:hAnsi="Times New Roman" w:cs="Times New Roman"/>
                      <w:bCs/>
                      <w:color w:val="auto"/>
                      <w:w w:val="95"/>
                      <w:sz w:val="21"/>
                      <w:szCs w:val="21"/>
                    </w:rPr>
                  </w:pPr>
                </w:p>
              </w:tc>
              <w:tc>
                <w:tcPr>
                  <w:tcW w:w="2031" w:type="dxa"/>
                  <w:vMerge w:val="continue"/>
                  <w:vAlign w:val="center"/>
                </w:tcPr>
                <w:p>
                  <w:pPr>
                    <w:spacing w:line="240" w:lineRule="auto"/>
                    <w:jc w:val="center"/>
                    <w:rPr>
                      <w:rFonts w:hint="default" w:ascii="Times New Roman" w:hAnsi="Times New Roman" w:cs="Times New Roman"/>
                      <w:bCs/>
                      <w:color w:val="auto"/>
                      <w:w w:val="95"/>
                      <w:sz w:val="21"/>
                      <w:szCs w:val="21"/>
                    </w:rPr>
                  </w:pPr>
                </w:p>
              </w:tc>
              <w:tc>
                <w:tcPr>
                  <w:tcW w:w="911" w:type="dxa"/>
                  <w:vMerge w:val="continue"/>
                  <w:vAlign w:val="center"/>
                </w:tcPr>
                <w:p>
                  <w:pPr>
                    <w:spacing w:line="240" w:lineRule="auto"/>
                    <w:jc w:val="center"/>
                    <w:rPr>
                      <w:rFonts w:hint="default" w:ascii="Times New Roman" w:hAnsi="Times New Roman" w:cs="Times New Roman"/>
                      <w:bCs/>
                      <w:color w:val="auto"/>
                      <w:w w:val="95"/>
                      <w:sz w:val="21"/>
                      <w:szCs w:val="21"/>
                    </w:rPr>
                  </w:pPr>
                </w:p>
              </w:tc>
              <w:tc>
                <w:tcPr>
                  <w:tcW w:w="1362" w:type="dxa"/>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名称及工艺</w:t>
                  </w:r>
                </w:p>
              </w:tc>
              <w:tc>
                <w:tcPr>
                  <w:tcW w:w="1131" w:type="dxa"/>
                  <w:vAlign w:val="center"/>
                </w:tcPr>
                <w:p>
                  <w:pPr>
                    <w:spacing w:line="240" w:lineRule="auto"/>
                    <w:jc w:val="center"/>
                    <w:rPr>
                      <w:rFonts w:hint="default" w:ascii="Times New Roman" w:hAnsi="Times New Roman" w:cs="Times New Roman"/>
                      <w:b/>
                      <w:color w:val="auto"/>
                      <w:w w:val="95"/>
                      <w:sz w:val="21"/>
                      <w:szCs w:val="21"/>
                    </w:rPr>
                  </w:pPr>
                  <w:r>
                    <w:rPr>
                      <w:rFonts w:hint="default" w:ascii="Times New Roman" w:hAnsi="Times New Roman" w:cs="Times New Roman"/>
                      <w:b/>
                      <w:color w:val="auto"/>
                      <w:w w:val="95"/>
                      <w:sz w:val="21"/>
                      <w:szCs w:val="21"/>
                    </w:rPr>
                    <w:t>是否为可行性技术</w:t>
                  </w:r>
                </w:p>
              </w:tc>
              <w:tc>
                <w:tcPr>
                  <w:tcW w:w="791" w:type="dxa"/>
                  <w:vMerge w:val="continue"/>
                  <w:vAlign w:val="center"/>
                </w:tcPr>
                <w:p>
                  <w:pPr>
                    <w:spacing w:line="240" w:lineRule="auto"/>
                    <w:jc w:val="center"/>
                    <w:rPr>
                      <w:rFonts w:hint="default" w:ascii="Times New Roman" w:hAnsi="Times New Roman" w:cs="Times New Roman"/>
                      <w:bCs/>
                      <w:color w:val="auto"/>
                      <w:w w:val="95"/>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6" w:type="dxa"/>
                  <w:vAlign w:val="center"/>
                </w:tcPr>
                <w:p>
                  <w:pPr>
                    <w:pStyle w:val="39"/>
                    <w:bidi w:val="0"/>
                    <w:ind w:firstLine="0" w:firstLineChars="0"/>
                    <w:jc w:val="center"/>
                    <w:rPr>
                      <w:rFonts w:hint="default" w:ascii="Times New Roman" w:hAnsi="Times New Roman" w:eastAsia="宋体" w:cs="Times New Roman"/>
                      <w:color w:val="auto"/>
                      <w:lang w:val="en-US" w:eastAsia="zh-CN" w:bidi="ar-SA"/>
                    </w:rPr>
                  </w:pPr>
                  <w:r>
                    <w:rPr>
                      <w:rFonts w:hint="default" w:ascii="Times New Roman" w:hAnsi="Times New Roman" w:eastAsia="宋体" w:cs="Times New Roman"/>
                      <w:color w:val="auto"/>
                      <w:lang w:val="en-US" w:eastAsia="zh-CN" w:bidi="ar-SA"/>
                    </w:rPr>
                    <w:t>水煮、烘干</w:t>
                  </w:r>
                  <w:r>
                    <w:rPr>
                      <w:rFonts w:hint="default" w:ascii="Times New Roman" w:hAnsi="Times New Roman" w:cs="Times New Roman"/>
                      <w:color w:val="auto"/>
                      <w:lang w:val="en-US" w:eastAsia="zh-CN" w:bidi="ar-SA"/>
                    </w:rPr>
                    <w:t>、</w:t>
                  </w:r>
                  <w:r>
                    <w:rPr>
                      <w:rFonts w:hint="eastAsia" w:ascii="Times New Roman" w:hAnsi="Times New Roman" w:cs="Times New Roman"/>
                      <w:color w:val="auto"/>
                      <w:lang w:val="en-US" w:eastAsia="zh-CN" w:bidi="ar-SA"/>
                    </w:rPr>
                    <w:t>炒制</w:t>
                  </w:r>
                  <w:r>
                    <w:rPr>
                      <w:rFonts w:hint="default" w:ascii="Times New Roman" w:hAnsi="Times New Roman" w:eastAsia="宋体" w:cs="Times New Roman"/>
                      <w:color w:val="auto"/>
                      <w:lang w:val="en-US" w:eastAsia="zh-CN" w:bidi="ar-SA"/>
                    </w:rPr>
                    <w:t>工序</w:t>
                  </w:r>
                </w:p>
              </w:tc>
              <w:tc>
                <w:tcPr>
                  <w:tcW w:w="2031" w:type="dxa"/>
                  <w:vAlign w:val="center"/>
                </w:tcPr>
                <w:p>
                  <w:pPr>
                    <w:pStyle w:val="39"/>
                    <w:bidi w:val="0"/>
                    <w:ind w:firstLine="0" w:firstLineChars="0"/>
                    <w:jc w:val="center"/>
                    <w:rPr>
                      <w:rFonts w:hint="default" w:ascii="Times New Roman" w:hAnsi="Times New Roman" w:eastAsia="宋体" w:cs="Times New Roman"/>
                      <w:color w:val="auto"/>
                      <w:lang w:val="en-US" w:eastAsia="zh-CN" w:bidi="ar-SA"/>
                    </w:rPr>
                  </w:pPr>
                  <w:r>
                    <w:rPr>
                      <w:rFonts w:hint="default" w:ascii="Times New Roman" w:hAnsi="Times New Roman" w:eastAsia="宋体" w:cs="Times New Roman"/>
                      <w:color w:val="auto"/>
                      <w:lang w:val="en-US" w:eastAsia="zh-CN" w:bidi="ar-SA"/>
                    </w:rPr>
                    <w:t>颗粒物、SO</w:t>
                  </w:r>
                  <w:r>
                    <w:rPr>
                      <w:rFonts w:hint="default" w:ascii="Times New Roman" w:hAnsi="Times New Roman" w:eastAsia="宋体" w:cs="Times New Roman"/>
                      <w:color w:val="auto"/>
                      <w:vertAlign w:val="subscript"/>
                      <w:lang w:val="en-US" w:eastAsia="zh-CN" w:bidi="ar-SA"/>
                    </w:rPr>
                    <w:t>2</w:t>
                  </w:r>
                  <w:r>
                    <w:rPr>
                      <w:rFonts w:hint="default" w:ascii="Times New Roman" w:hAnsi="Times New Roman" w:eastAsia="宋体" w:cs="Times New Roman"/>
                      <w:color w:val="auto"/>
                      <w:lang w:val="en-US" w:eastAsia="zh-CN" w:bidi="ar-SA"/>
                    </w:rPr>
                    <w:t>、NO</w:t>
                  </w:r>
                  <w:r>
                    <w:rPr>
                      <w:rFonts w:hint="default" w:ascii="Times New Roman" w:hAnsi="Times New Roman" w:eastAsia="宋体" w:cs="Times New Roman"/>
                      <w:color w:val="auto"/>
                      <w:vertAlign w:val="subscript"/>
                      <w:lang w:val="en-US" w:eastAsia="zh-CN" w:bidi="ar-SA"/>
                    </w:rPr>
                    <w:t>X</w:t>
                  </w:r>
                </w:p>
              </w:tc>
              <w:tc>
                <w:tcPr>
                  <w:tcW w:w="91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有组织</w:t>
                  </w:r>
                </w:p>
              </w:tc>
              <w:tc>
                <w:tcPr>
                  <w:tcW w:w="1362" w:type="dxa"/>
                  <w:vAlign w:val="center"/>
                </w:tcPr>
                <w:p>
                  <w:pPr>
                    <w:spacing w:line="240" w:lineRule="auto"/>
                    <w:jc w:val="center"/>
                    <w:rPr>
                      <w:rFonts w:hint="default" w:ascii="Times New Roman" w:hAnsi="Times New Roman" w:eastAsia="宋体" w:cs="Times New Roman"/>
                      <w:bCs/>
                      <w:color w:val="auto"/>
                      <w:w w:val="95"/>
                      <w:sz w:val="21"/>
                      <w:szCs w:val="21"/>
                      <w:lang w:val="en-US" w:eastAsia="zh-CN"/>
                    </w:rPr>
                  </w:pPr>
                  <w:r>
                    <w:rPr>
                      <w:rFonts w:hint="default" w:ascii="Times New Roman" w:hAnsi="Times New Roman" w:cs="Times New Roman"/>
                      <w:bCs/>
                      <w:color w:val="auto"/>
                      <w:w w:val="95"/>
                      <w:sz w:val="21"/>
                      <w:szCs w:val="21"/>
                      <w:lang w:val="en-US" w:eastAsia="zh-CN"/>
                    </w:rPr>
                    <w:t>布袋除尘器+15m高排气筒</w:t>
                  </w:r>
                </w:p>
              </w:tc>
              <w:tc>
                <w:tcPr>
                  <w:tcW w:w="113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是</w:t>
                  </w:r>
                </w:p>
              </w:tc>
              <w:tc>
                <w:tcPr>
                  <w:tcW w:w="79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lang w:val="en-US" w:eastAsia="zh-CN"/>
                    </w:rPr>
                    <w:t>一般</w:t>
                  </w:r>
                  <w:r>
                    <w:rPr>
                      <w:rFonts w:hint="default" w:ascii="Times New Roman" w:hAnsi="Times New Roman" w:cs="Times New Roman"/>
                      <w:bCs/>
                      <w:color w:val="auto"/>
                      <w:w w:val="95"/>
                      <w:sz w:val="21"/>
                      <w:szCs w:val="21"/>
                    </w:rPr>
                    <w:t>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6" w:type="dxa"/>
                  <w:vAlign w:val="center"/>
                </w:tcPr>
                <w:p>
                  <w:pPr>
                    <w:pStyle w:val="39"/>
                    <w:bidi w:val="0"/>
                    <w:ind w:firstLine="0" w:firstLineChars="0"/>
                    <w:jc w:val="center"/>
                    <w:rPr>
                      <w:rFonts w:hint="default" w:ascii="Times New Roman" w:hAnsi="Times New Roman" w:eastAsia="宋体" w:cs="Times New Roman"/>
                      <w:color w:val="auto"/>
                      <w:lang w:val="en-US" w:eastAsia="zh-CN" w:bidi="ar-SA"/>
                    </w:rPr>
                  </w:pPr>
                  <w:r>
                    <w:rPr>
                      <w:rFonts w:hint="eastAsia" w:cs="Times New Roman"/>
                      <w:color w:val="auto"/>
                      <w:szCs w:val="21"/>
                      <w:lang w:val="en-US" w:eastAsia="zh-CN" w:bidi="ar-SA"/>
                    </w:rPr>
                    <w:t>瓜子水煮、辣椒烘干工序</w:t>
                  </w:r>
                </w:p>
              </w:tc>
              <w:tc>
                <w:tcPr>
                  <w:tcW w:w="2031" w:type="dxa"/>
                  <w:vAlign w:val="center"/>
                </w:tcPr>
                <w:p>
                  <w:pPr>
                    <w:pStyle w:val="39"/>
                    <w:bidi w:val="0"/>
                    <w:ind w:firstLine="0" w:firstLineChars="0"/>
                    <w:jc w:val="center"/>
                    <w:rPr>
                      <w:rFonts w:hint="default" w:ascii="Times New Roman" w:hAnsi="Times New Roman" w:eastAsia="宋体" w:cs="Times New Roman"/>
                      <w:color w:val="auto"/>
                      <w:lang w:val="en-US" w:eastAsia="zh-CN" w:bidi="ar-SA"/>
                    </w:rPr>
                  </w:pPr>
                  <w:r>
                    <w:rPr>
                      <w:rFonts w:hint="default" w:ascii="Times New Roman" w:hAnsi="Times New Roman" w:cs="Times New Roman"/>
                      <w:color w:val="auto"/>
                      <w:lang w:val="en-US" w:eastAsia="zh-CN" w:bidi="ar-SA"/>
                    </w:rPr>
                    <w:t>香料异味、辛辣异味</w:t>
                  </w:r>
                </w:p>
              </w:tc>
              <w:tc>
                <w:tcPr>
                  <w:tcW w:w="91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无组织</w:t>
                  </w:r>
                </w:p>
              </w:tc>
              <w:tc>
                <w:tcPr>
                  <w:tcW w:w="1362"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w:t>
                  </w:r>
                </w:p>
              </w:tc>
              <w:tc>
                <w:tcPr>
                  <w:tcW w:w="113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w:t>
                  </w:r>
                </w:p>
              </w:tc>
              <w:tc>
                <w:tcPr>
                  <w:tcW w:w="79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6" w:type="dxa"/>
                  <w:vAlign w:val="center"/>
                </w:tcPr>
                <w:p>
                  <w:pPr>
                    <w:pStyle w:val="39"/>
                    <w:bidi w:val="0"/>
                    <w:ind w:firstLine="0" w:firstLineChars="0"/>
                    <w:jc w:val="center"/>
                    <w:rPr>
                      <w:rFonts w:hint="default" w:ascii="Times New Roman" w:hAnsi="Times New Roman" w:eastAsia="宋体" w:cs="Times New Roman"/>
                      <w:color w:val="auto"/>
                      <w:lang w:val="en-US" w:eastAsia="zh-CN" w:bidi="ar-SA"/>
                    </w:rPr>
                  </w:pPr>
                  <w:r>
                    <w:rPr>
                      <w:rFonts w:hint="default" w:ascii="Times New Roman" w:hAnsi="Times New Roman" w:eastAsia="宋体" w:cs="Times New Roman"/>
                      <w:color w:val="auto"/>
                      <w:lang w:val="en-US" w:eastAsia="zh-CN" w:bidi="ar-SA"/>
                    </w:rPr>
                    <w:t>筛选</w:t>
                  </w:r>
                  <w:r>
                    <w:rPr>
                      <w:rFonts w:hint="eastAsia" w:cs="Times New Roman"/>
                      <w:color w:val="auto"/>
                      <w:lang w:val="en-US" w:eastAsia="zh-CN" w:bidi="ar-SA"/>
                    </w:rPr>
                    <w:t>、脱皮</w:t>
                  </w:r>
                  <w:r>
                    <w:rPr>
                      <w:rFonts w:hint="default" w:ascii="Times New Roman" w:hAnsi="Times New Roman" w:eastAsia="宋体" w:cs="Times New Roman"/>
                      <w:color w:val="auto"/>
                      <w:lang w:val="en-US" w:eastAsia="zh-CN" w:bidi="ar-SA"/>
                    </w:rPr>
                    <w:t>工序</w:t>
                  </w:r>
                </w:p>
              </w:tc>
              <w:tc>
                <w:tcPr>
                  <w:tcW w:w="2031" w:type="dxa"/>
                  <w:vAlign w:val="center"/>
                </w:tcPr>
                <w:p>
                  <w:pPr>
                    <w:spacing w:line="240" w:lineRule="auto"/>
                    <w:jc w:val="center"/>
                    <w:rPr>
                      <w:rFonts w:hint="default" w:ascii="Times New Roman" w:hAnsi="Times New Roman" w:cs="Times New Roman"/>
                      <w:bCs/>
                      <w:color w:val="auto"/>
                      <w:w w:val="95"/>
                      <w:sz w:val="21"/>
                      <w:szCs w:val="21"/>
                      <w:lang w:val="en-US" w:eastAsia="zh-CN"/>
                    </w:rPr>
                  </w:pPr>
                  <w:r>
                    <w:rPr>
                      <w:rFonts w:hint="default" w:ascii="Times New Roman" w:hAnsi="Times New Roman" w:cs="Times New Roman"/>
                      <w:bCs/>
                      <w:color w:val="auto"/>
                      <w:w w:val="95"/>
                      <w:sz w:val="21"/>
                      <w:szCs w:val="21"/>
                      <w:lang w:val="en-US" w:eastAsia="zh-CN"/>
                    </w:rPr>
                    <w:t>颗粒物</w:t>
                  </w:r>
                </w:p>
              </w:tc>
              <w:tc>
                <w:tcPr>
                  <w:tcW w:w="91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无组织</w:t>
                  </w:r>
                </w:p>
              </w:tc>
              <w:tc>
                <w:tcPr>
                  <w:tcW w:w="1362" w:type="dxa"/>
                  <w:vAlign w:val="center"/>
                </w:tcPr>
                <w:p>
                  <w:pPr>
                    <w:spacing w:line="240" w:lineRule="auto"/>
                    <w:jc w:val="center"/>
                    <w:rPr>
                      <w:rFonts w:hint="default" w:ascii="Times New Roman" w:hAnsi="Times New Roman" w:cs="Times New Roman"/>
                      <w:bCs/>
                      <w:color w:val="auto"/>
                      <w:w w:val="95"/>
                      <w:sz w:val="21"/>
                      <w:szCs w:val="21"/>
                    </w:rPr>
                  </w:pPr>
                  <w:r>
                    <w:rPr>
                      <w:rFonts w:hint="eastAsia" w:ascii="Times New Roman" w:hAnsi="Times New Roman" w:cs="Times New Roman"/>
                      <w:bCs/>
                      <w:color w:val="auto"/>
                      <w:w w:val="95"/>
                      <w:sz w:val="21"/>
                      <w:szCs w:val="21"/>
                      <w:lang w:val="en-US" w:eastAsia="zh-CN"/>
                    </w:rPr>
                    <w:t>设备自带</w:t>
                  </w:r>
                  <w:r>
                    <w:rPr>
                      <w:rFonts w:hint="default" w:ascii="Times New Roman" w:hAnsi="Times New Roman" w:cs="Times New Roman"/>
                      <w:bCs/>
                      <w:color w:val="auto"/>
                      <w:w w:val="95"/>
                      <w:sz w:val="21"/>
                      <w:szCs w:val="21"/>
                      <w:lang w:val="en-US" w:eastAsia="zh-CN"/>
                    </w:rPr>
                    <w:t>除尘器</w:t>
                  </w:r>
                </w:p>
              </w:tc>
              <w:tc>
                <w:tcPr>
                  <w:tcW w:w="113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w:t>
                  </w:r>
                </w:p>
              </w:tc>
              <w:tc>
                <w:tcPr>
                  <w:tcW w:w="791" w:type="dxa"/>
                  <w:vAlign w:val="center"/>
                </w:tcPr>
                <w:p>
                  <w:pPr>
                    <w:spacing w:line="240" w:lineRule="auto"/>
                    <w:jc w:val="center"/>
                    <w:rPr>
                      <w:rFonts w:hint="default" w:ascii="Times New Roman" w:hAnsi="Times New Roman" w:cs="Times New Roman"/>
                      <w:bCs/>
                      <w:color w:val="auto"/>
                      <w:w w:val="95"/>
                      <w:sz w:val="21"/>
                      <w:szCs w:val="21"/>
                    </w:rPr>
                  </w:pPr>
                  <w:r>
                    <w:rPr>
                      <w:rFonts w:hint="default" w:ascii="Times New Roman" w:hAnsi="Times New Roman" w:cs="Times New Roman"/>
                      <w:bCs/>
                      <w:color w:val="auto"/>
                      <w:w w:val="95"/>
                      <w:sz w:val="21"/>
                      <w:szCs w:val="21"/>
                    </w:rPr>
                    <w:t>/</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（2）污染物产排量和浓度</w:t>
            </w:r>
          </w:p>
          <w:p>
            <w:pPr>
              <w:pStyle w:val="6"/>
              <w:bidi w:val="0"/>
              <w:rPr>
                <w:rFonts w:hint="default"/>
                <w:lang w:val="en-US" w:eastAsia="zh-CN"/>
              </w:rPr>
            </w:pPr>
            <w:r>
              <w:rPr>
                <w:rFonts w:hint="eastAsia"/>
                <w:lang w:val="en-US" w:eastAsia="zh-CN"/>
              </w:rPr>
              <w:t>①</w:t>
            </w:r>
            <w:r>
              <w:rPr>
                <w:rFonts w:hint="default"/>
                <w:lang w:val="en-US" w:eastAsia="zh-CN"/>
              </w:rPr>
              <w:t>生物质燃料燃烧废气</w:t>
            </w:r>
          </w:p>
          <w:p>
            <w:pPr>
              <w:pStyle w:val="6"/>
              <w:bidi w:val="0"/>
              <w:rPr>
                <w:rFonts w:hint="default"/>
                <w:color w:val="auto"/>
                <w:lang w:val="en-US" w:eastAsia="zh-CN"/>
              </w:rPr>
            </w:pPr>
            <w:r>
              <w:rPr>
                <w:rFonts w:hint="default"/>
                <w:lang w:val="en-US" w:eastAsia="zh-CN"/>
              </w:rPr>
              <w:t>本项目葵</w:t>
            </w:r>
            <w:r>
              <w:rPr>
                <w:rFonts w:hint="default"/>
                <w:color w:val="auto"/>
                <w:lang w:val="en-US" w:eastAsia="zh-CN"/>
              </w:rPr>
              <w:t>花籽加工</w:t>
            </w:r>
            <w:r>
              <w:rPr>
                <w:rFonts w:hint="eastAsia"/>
                <w:color w:val="auto"/>
                <w:lang w:val="en-US" w:eastAsia="zh-CN"/>
              </w:rPr>
              <w:t>多味瓜子</w:t>
            </w:r>
            <w:r>
              <w:rPr>
                <w:rFonts w:hint="default"/>
                <w:color w:val="auto"/>
                <w:lang w:val="en-US" w:eastAsia="zh-CN"/>
              </w:rPr>
              <w:t>水煮工序煮锅、烘干工序生物质</w:t>
            </w:r>
            <w:r>
              <w:rPr>
                <w:rFonts w:hint="eastAsia"/>
                <w:color w:val="auto"/>
                <w:lang w:val="en-US" w:eastAsia="zh-CN"/>
              </w:rPr>
              <w:t>热风炉、</w:t>
            </w:r>
            <w:r>
              <w:rPr>
                <w:rFonts w:hint="default"/>
                <w:color w:val="auto"/>
              </w:rPr>
              <w:t>原味瓜子炒制工序</w:t>
            </w:r>
            <w:r>
              <w:rPr>
                <w:rFonts w:hint="eastAsia"/>
                <w:color w:val="auto"/>
                <w:lang w:val="en-US" w:eastAsia="zh-CN"/>
              </w:rPr>
              <w:t>干炒机</w:t>
            </w:r>
            <w:r>
              <w:rPr>
                <w:rFonts w:hint="default"/>
                <w:color w:val="auto"/>
                <w:lang w:val="en-US" w:eastAsia="zh-CN"/>
              </w:rPr>
              <w:t>使用生物质压缩成型燃料供热，其燃料为颗粒状环保新能源，具有纯度高、发热量大、不腐蚀</w:t>
            </w:r>
            <w:r>
              <w:rPr>
                <w:rFonts w:hint="eastAsia"/>
                <w:color w:val="auto"/>
                <w:lang w:val="en-US" w:eastAsia="zh-CN"/>
              </w:rPr>
              <w:t>设备</w:t>
            </w:r>
            <w:r>
              <w:rPr>
                <w:rFonts w:hint="default"/>
                <w:color w:val="auto"/>
                <w:lang w:val="en-US" w:eastAsia="zh-CN"/>
              </w:rPr>
              <w:t>、清洁卫生、灰烬少且是品位极高的优质有机钾肥，可回收创利等优点。</w:t>
            </w:r>
            <w:r>
              <w:rPr>
                <w:rFonts w:hint="eastAsia"/>
                <w:color w:val="auto"/>
                <w:lang w:val="en-US" w:eastAsia="zh-CN"/>
              </w:rPr>
              <w:t>各工序</w:t>
            </w:r>
            <w:r>
              <w:rPr>
                <w:rFonts w:hint="default"/>
                <w:color w:val="auto"/>
                <w:lang w:val="en-US" w:eastAsia="zh-CN"/>
              </w:rPr>
              <w:t>生物质燃料燃烧废气</w:t>
            </w:r>
            <w:r>
              <w:rPr>
                <w:rFonts w:hint="eastAsia"/>
                <w:color w:val="auto"/>
                <w:lang w:val="en-US" w:eastAsia="zh-CN"/>
              </w:rPr>
              <w:t>经</w:t>
            </w:r>
            <w:r>
              <w:rPr>
                <w:rFonts w:hint="default"/>
                <w:color w:val="auto"/>
                <w:lang w:val="en-US" w:eastAsia="zh-CN"/>
              </w:rPr>
              <w:t>1台布袋除尘器处理，最终</w:t>
            </w:r>
            <w:r>
              <w:rPr>
                <w:rFonts w:hint="eastAsia"/>
                <w:color w:val="auto"/>
                <w:lang w:val="en-US" w:eastAsia="zh-CN"/>
              </w:rPr>
              <w:t>由</w:t>
            </w:r>
            <w:r>
              <w:rPr>
                <w:rFonts w:hint="default"/>
                <w:color w:val="auto"/>
                <w:lang w:val="en-US" w:eastAsia="zh-CN"/>
              </w:rPr>
              <w:t>1根15m高排气筒排放。</w:t>
            </w:r>
          </w:p>
          <w:p>
            <w:pPr>
              <w:pStyle w:val="6"/>
              <w:bidi w:val="0"/>
              <w:rPr>
                <w:b/>
              </w:rPr>
            </w:pPr>
            <w:r>
              <w:rPr>
                <w:rFonts w:hint="default"/>
                <w:color w:val="auto"/>
                <w:lang w:val="en-US" w:eastAsia="zh-CN"/>
              </w:rPr>
              <w:t>本项目所用生物质燃料由市场外购，根据企业提供资料，生物质燃料使用量为990t/a</w:t>
            </w:r>
            <w:r>
              <w:rPr>
                <w:rFonts w:hint="eastAsia"/>
                <w:color w:val="auto"/>
                <w:lang w:val="en-US" w:eastAsia="zh-CN"/>
              </w:rPr>
              <w:t>，</w:t>
            </w:r>
            <w:r>
              <w:rPr>
                <w:rFonts w:hint="default"/>
                <w:color w:val="auto"/>
                <w:lang w:val="en-US" w:eastAsia="zh-CN"/>
              </w:rPr>
              <w:t>主要成分见表2-6。</w:t>
            </w:r>
            <w:r>
              <w:rPr>
                <w:rFonts w:hint="eastAsia" w:cs="Times New Roman"/>
                <w:color w:val="auto"/>
                <w:lang w:val="en-US" w:eastAsia="zh-CN"/>
              </w:rPr>
              <w:t>参照</w:t>
            </w:r>
            <w:r>
              <w:rPr>
                <w:rFonts w:hint="default" w:eastAsia="宋体" w:cs="Times New Roman"/>
                <w:color w:val="auto"/>
                <w:lang w:val="en-US" w:eastAsia="zh-CN"/>
              </w:rPr>
              <w:t>《排放源统计调</w:t>
            </w:r>
            <w:r>
              <w:rPr>
                <w:rFonts w:hint="default" w:eastAsia="宋体" w:cs="Times New Roman"/>
                <w:lang w:val="en-US" w:eastAsia="zh-CN"/>
              </w:rPr>
              <w:t>查产排污核算方法和系数手册》（4430工业锅炉（热力</w:t>
            </w:r>
            <w:r>
              <w:rPr>
                <w:rFonts w:hint="eastAsia" w:cs="Times New Roman"/>
                <w:lang w:val="en-US" w:eastAsia="zh-CN"/>
              </w:rPr>
              <w:t>和</w:t>
            </w:r>
            <w:r>
              <w:rPr>
                <w:rFonts w:hint="default" w:eastAsia="宋体" w:cs="Times New Roman"/>
                <w:lang w:val="en-US" w:eastAsia="zh-CN"/>
              </w:rPr>
              <w:t>供应</w:t>
            </w:r>
            <w:r>
              <w:rPr>
                <w:rFonts w:hint="eastAsia" w:cs="Times New Roman"/>
                <w:lang w:val="en-US" w:eastAsia="zh-CN"/>
              </w:rPr>
              <w:t>行业</w:t>
            </w:r>
            <w:r>
              <w:rPr>
                <w:rFonts w:hint="default" w:eastAsia="宋体" w:cs="Times New Roman"/>
                <w:lang w:val="en-US" w:eastAsia="zh-CN"/>
              </w:rPr>
              <w:t>）</w:t>
            </w:r>
            <w:r>
              <w:rPr>
                <w:rFonts w:hint="eastAsia" w:cs="Times New Roman"/>
                <w:lang w:val="en-US" w:eastAsia="zh-CN"/>
              </w:rPr>
              <w:t>产污系数表</w:t>
            </w:r>
            <w:r>
              <w:rPr>
                <w:rFonts w:hint="default" w:eastAsia="宋体" w:cs="Times New Roman"/>
                <w:lang w:val="en-US" w:eastAsia="zh-CN"/>
              </w:rPr>
              <w:t>--生物质工业锅炉）</w:t>
            </w:r>
            <w:r>
              <w:rPr>
                <w:rFonts w:hint="eastAsia" w:cs="Times New Roman"/>
                <w:lang w:val="en-US" w:eastAsia="zh-CN"/>
              </w:rPr>
              <w:t>中产污系数数据</w:t>
            </w:r>
            <w:r>
              <w:rPr>
                <w:rFonts w:hint="default" w:eastAsia="宋体" w:cs="Times New Roman"/>
                <w:lang w:val="en-US" w:eastAsia="zh-CN"/>
              </w:rPr>
              <w:t>，</w:t>
            </w:r>
            <w:r>
              <w:rPr>
                <w:rFonts w:hint="eastAsia" w:eastAsia="宋体" w:cs="Times New Roman"/>
                <w:lang w:val="en-US" w:eastAsia="zh-CN"/>
              </w:rPr>
              <w:t>计</w:t>
            </w:r>
            <w:r>
              <w:rPr>
                <w:rFonts w:hint="eastAsia" w:eastAsia="宋体" w:cs="Times New Roman"/>
                <w:highlight w:val="none"/>
                <w:lang w:val="en-US" w:eastAsia="zh-CN"/>
              </w:rPr>
              <w:t>算生物质燃料燃烧废气源强</w:t>
            </w:r>
            <w:r>
              <w:rPr>
                <w:rFonts w:hint="eastAsia" w:eastAsia="宋体" w:cs="Times New Roman"/>
                <w:color w:val="FF0000"/>
                <w:highlight w:val="none"/>
                <w:lang w:val="en-US" w:eastAsia="zh-CN"/>
              </w:rPr>
              <w:t>，</w:t>
            </w:r>
            <w:r>
              <w:rPr>
                <w:rFonts w:hint="eastAsia" w:cs="Times New Roman"/>
                <w:color w:val="FF0000"/>
                <w:highlight w:val="none"/>
                <w:lang w:val="en-US" w:eastAsia="zh-CN"/>
              </w:rPr>
              <w:t>由“表2-6 生物质燃料成分表”可知</w:t>
            </w:r>
            <w:r>
              <w:rPr>
                <w:rFonts w:hint="eastAsia" w:eastAsia="宋体" w:cs="Times New Roman"/>
                <w:color w:val="FF0000"/>
                <w:highlight w:val="none"/>
                <w:lang w:val="en-US" w:eastAsia="zh-CN"/>
              </w:rPr>
              <w:t>本项目S为0.1</w:t>
            </w:r>
            <w:r>
              <w:rPr>
                <w:rFonts w:hint="eastAsia" w:cs="Times New Roman"/>
                <w:color w:val="FF0000"/>
                <w:highlight w:val="none"/>
                <w:lang w:val="en-US" w:eastAsia="zh-CN"/>
              </w:rPr>
              <w:t>0</w:t>
            </w:r>
            <w:r>
              <w:rPr>
                <w:rFonts w:hint="eastAsia" w:eastAsia="宋体" w:cs="Times New Roman"/>
                <w:color w:val="FF0000"/>
                <w:highlight w:val="none"/>
                <w:lang w:val="en-US" w:eastAsia="zh-CN"/>
              </w:rPr>
              <w:t>。</w:t>
            </w:r>
            <w:r>
              <w:rPr>
                <w:rFonts w:hint="default" w:eastAsia="宋体" w:cs="Times New Roman"/>
                <w:color w:val="FF0000"/>
                <w:highlight w:val="none"/>
                <w:lang w:val="en-US" w:eastAsia="zh-CN"/>
              </w:rPr>
              <w:t>本</w:t>
            </w:r>
            <w:r>
              <w:rPr>
                <w:rFonts w:hint="default" w:eastAsia="宋体" w:cs="Times New Roman"/>
                <w:lang w:val="en-US" w:eastAsia="zh-CN"/>
              </w:rPr>
              <w:t>项目</w:t>
            </w:r>
            <w:r>
              <w:rPr>
                <w:rFonts w:hint="eastAsia" w:eastAsia="宋体" w:cs="Times New Roman"/>
                <w:lang w:val="en-US" w:eastAsia="zh-CN"/>
              </w:rPr>
              <w:t>生物质燃料燃烧废气</w:t>
            </w:r>
            <w:r>
              <w:rPr>
                <w:rFonts w:hint="default" w:eastAsia="宋体" w:cs="Times New Roman"/>
                <w:lang w:val="en-US" w:eastAsia="zh-CN"/>
              </w:rPr>
              <w:t>中污染物产排情况</w:t>
            </w:r>
            <w:r>
              <w:rPr>
                <w:rFonts w:hint="eastAsia" w:eastAsia="宋体" w:cs="Times New Roman"/>
                <w:lang w:val="en-US" w:eastAsia="zh-CN"/>
              </w:rPr>
              <w:t>见</w:t>
            </w:r>
            <w:r>
              <w:rPr>
                <w:rFonts w:hint="default" w:eastAsia="宋体" w:cs="Times New Roman"/>
                <w:lang w:val="en-US" w:eastAsia="zh-CN"/>
              </w:rPr>
              <w:t>表</w:t>
            </w:r>
            <w:r>
              <w:rPr>
                <w:rFonts w:hint="eastAsia" w:eastAsia="宋体" w:cs="Times New Roman"/>
                <w:lang w:val="en-US" w:eastAsia="zh-CN"/>
              </w:rPr>
              <w:t>4-2。</w:t>
            </w:r>
          </w:p>
          <w:p>
            <w:pPr>
              <w:widowControl/>
              <w:spacing w:line="240" w:lineRule="auto"/>
              <w:jc w:val="center"/>
              <w:rPr>
                <w:b/>
                <w:color w:val="auto"/>
              </w:rPr>
            </w:pPr>
            <w:r>
              <w:rPr>
                <w:b/>
                <w:color w:val="auto"/>
                <w:sz w:val="24"/>
                <w:szCs w:val="24"/>
              </w:rPr>
              <w:t>表4-</w:t>
            </w:r>
            <w:r>
              <w:rPr>
                <w:rFonts w:hint="eastAsia"/>
                <w:b/>
                <w:color w:val="auto"/>
                <w:sz w:val="24"/>
                <w:szCs w:val="24"/>
              </w:rPr>
              <w:t>2</w:t>
            </w:r>
            <w:r>
              <w:rPr>
                <w:b/>
                <w:color w:val="auto"/>
                <w:sz w:val="24"/>
                <w:szCs w:val="24"/>
              </w:rPr>
              <w:t xml:space="preserve"> </w:t>
            </w:r>
            <w:r>
              <w:rPr>
                <w:rFonts w:hint="eastAsia"/>
                <w:b/>
                <w:color w:val="auto"/>
                <w:sz w:val="24"/>
                <w:szCs w:val="24"/>
              </w:rPr>
              <w:t>生物质燃料燃烧废气</w:t>
            </w:r>
            <w:r>
              <w:rPr>
                <w:b/>
                <w:color w:val="auto"/>
                <w:sz w:val="24"/>
                <w:szCs w:val="24"/>
              </w:rPr>
              <w:t>污染物产排情况</w:t>
            </w:r>
          </w:p>
          <w:tbl>
            <w:tblPr>
              <w:tblStyle w:val="23"/>
              <w:tblW w:w="7795" w:type="dxa"/>
              <w:tblInd w:w="1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947"/>
              <w:gridCol w:w="1670"/>
              <w:gridCol w:w="1310"/>
              <w:gridCol w:w="1380"/>
              <w:gridCol w:w="14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b/>
                      <w:bCs/>
                      <w:color w:val="auto"/>
                      <w:sz w:val="21"/>
                      <w:szCs w:val="21"/>
                    </w:rPr>
                  </w:pPr>
                  <w:r>
                    <w:rPr>
                      <w:b/>
                      <w:bCs/>
                      <w:color w:val="auto"/>
                      <w:sz w:val="21"/>
                      <w:szCs w:val="21"/>
                    </w:rPr>
                    <w:t>污染物名称</w:t>
                  </w:r>
                </w:p>
              </w:tc>
              <w:tc>
                <w:tcPr>
                  <w:tcW w:w="1670" w:type="dxa"/>
                  <w:vAlign w:val="center"/>
                </w:tcPr>
                <w:p>
                  <w:pPr>
                    <w:spacing w:line="240" w:lineRule="auto"/>
                    <w:jc w:val="center"/>
                    <w:rPr>
                      <w:b/>
                      <w:bCs/>
                      <w:color w:val="auto"/>
                      <w:sz w:val="21"/>
                      <w:szCs w:val="21"/>
                    </w:rPr>
                  </w:pPr>
                  <w:r>
                    <w:rPr>
                      <w:b/>
                      <w:bCs/>
                      <w:color w:val="auto"/>
                      <w:sz w:val="21"/>
                      <w:szCs w:val="21"/>
                    </w:rPr>
                    <w:t>废气量</w:t>
                  </w:r>
                </w:p>
              </w:tc>
              <w:tc>
                <w:tcPr>
                  <w:tcW w:w="1310" w:type="dxa"/>
                  <w:vAlign w:val="center"/>
                </w:tcPr>
                <w:p>
                  <w:pPr>
                    <w:spacing w:line="240" w:lineRule="auto"/>
                    <w:jc w:val="center"/>
                    <w:rPr>
                      <w:b/>
                      <w:bCs/>
                      <w:color w:val="auto"/>
                      <w:sz w:val="21"/>
                      <w:szCs w:val="21"/>
                    </w:rPr>
                  </w:pPr>
                  <w:r>
                    <w:rPr>
                      <w:rFonts w:hint="eastAsia"/>
                      <w:b/>
                      <w:bCs/>
                      <w:color w:val="auto"/>
                      <w:sz w:val="21"/>
                      <w:szCs w:val="21"/>
                    </w:rPr>
                    <w:t>颗粒物</w:t>
                  </w:r>
                </w:p>
              </w:tc>
              <w:tc>
                <w:tcPr>
                  <w:tcW w:w="1380" w:type="dxa"/>
                  <w:vAlign w:val="center"/>
                </w:tcPr>
                <w:p>
                  <w:pPr>
                    <w:spacing w:line="240" w:lineRule="auto"/>
                    <w:jc w:val="center"/>
                    <w:rPr>
                      <w:b/>
                      <w:bCs/>
                      <w:color w:val="auto"/>
                      <w:sz w:val="21"/>
                      <w:szCs w:val="21"/>
                    </w:rPr>
                  </w:pPr>
                  <w:r>
                    <w:rPr>
                      <w:b/>
                      <w:bCs/>
                      <w:color w:val="auto"/>
                      <w:sz w:val="21"/>
                      <w:szCs w:val="21"/>
                    </w:rPr>
                    <w:t>SO</w:t>
                  </w:r>
                  <w:r>
                    <w:rPr>
                      <w:b/>
                      <w:bCs/>
                      <w:color w:val="auto"/>
                      <w:sz w:val="21"/>
                      <w:szCs w:val="21"/>
                      <w:vertAlign w:val="subscript"/>
                    </w:rPr>
                    <w:t>2</w:t>
                  </w:r>
                </w:p>
              </w:tc>
              <w:tc>
                <w:tcPr>
                  <w:tcW w:w="1488" w:type="dxa"/>
                  <w:vAlign w:val="center"/>
                </w:tcPr>
                <w:p>
                  <w:pPr>
                    <w:spacing w:line="240" w:lineRule="auto"/>
                    <w:jc w:val="center"/>
                    <w:rPr>
                      <w:b/>
                      <w:bCs/>
                      <w:color w:val="auto"/>
                      <w:sz w:val="21"/>
                      <w:szCs w:val="21"/>
                    </w:rPr>
                  </w:pPr>
                  <w:r>
                    <w:rPr>
                      <w:b/>
                      <w:bCs/>
                      <w:color w:val="auto"/>
                      <w:sz w:val="21"/>
                      <w:szCs w:val="21"/>
                    </w:rPr>
                    <w:t>NO</w:t>
                  </w:r>
                  <w:r>
                    <w:rPr>
                      <w:b/>
                      <w:bCs/>
                      <w:color w:val="auto"/>
                      <w:sz w:val="21"/>
                      <w:szCs w:val="21"/>
                      <w:vertAlign w:val="subscript"/>
                    </w:rPr>
                    <w:t>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color w:val="auto"/>
                      <w:sz w:val="21"/>
                      <w:szCs w:val="21"/>
                    </w:rPr>
                  </w:pPr>
                  <w:r>
                    <w:rPr>
                      <w:color w:val="auto"/>
                      <w:sz w:val="21"/>
                      <w:szCs w:val="21"/>
                    </w:rPr>
                    <w:t>产污系数</w:t>
                  </w:r>
                </w:p>
              </w:tc>
              <w:tc>
                <w:tcPr>
                  <w:tcW w:w="1670" w:type="dxa"/>
                  <w:vAlign w:val="center"/>
                </w:tcPr>
                <w:p>
                  <w:pPr>
                    <w:spacing w:line="240" w:lineRule="auto"/>
                    <w:jc w:val="center"/>
                    <w:rPr>
                      <w:rFonts w:hint="eastAsia"/>
                      <w:color w:val="auto"/>
                      <w:sz w:val="21"/>
                      <w:szCs w:val="21"/>
                    </w:rPr>
                  </w:pPr>
                  <w:r>
                    <w:rPr>
                      <w:rFonts w:hint="eastAsia"/>
                      <w:color w:val="auto"/>
                      <w:sz w:val="21"/>
                      <w:szCs w:val="21"/>
                      <w:lang w:val="en-US" w:eastAsia="zh-CN"/>
                    </w:rPr>
                    <w:t>6240</w:t>
                  </w:r>
                  <w:r>
                    <w:rPr>
                      <w:rFonts w:hint="eastAsia"/>
                      <w:color w:val="auto"/>
                      <w:sz w:val="21"/>
                      <w:szCs w:val="21"/>
                    </w:rPr>
                    <w:t>标立方米</w:t>
                  </w:r>
                </w:p>
                <w:p>
                  <w:pPr>
                    <w:spacing w:line="240" w:lineRule="auto"/>
                    <w:jc w:val="center"/>
                    <w:rPr>
                      <w:color w:val="auto"/>
                      <w:sz w:val="21"/>
                      <w:szCs w:val="21"/>
                    </w:rPr>
                  </w:pPr>
                  <w:r>
                    <w:rPr>
                      <w:rFonts w:hint="eastAsia"/>
                      <w:color w:val="auto"/>
                      <w:sz w:val="21"/>
                      <w:szCs w:val="21"/>
                    </w:rPr>
                    <w:t>/吨-原料</w:t>
                  </w:r>
                </w:p>
              </w:tc>
              <w:tc>
                <w:tcPr>
                  <w:tcW w:w="1310" w:type="dxa"/>
                  <w:vAlign w:val="center"/>
                </w:tcPr>
                <w:p>
                  <w:pPr>
                    <w:spacing w:line="240" w:lineRule="auto"/>
                    <w:jc w:val="center"/>
                    <w:rPr>
                      <w:rFonts w:hint="eastAsia"/>
                      <w:color w:val="auto"/>
                      <w:sz w:val="21"/>
                      <w:szCs w:val="21"/>
                    </w:rPr>
                  </w:pPr>
                  <w:r>
                    <w:rPr>
                      <w:rFonts w:hint="eastAsia"/>
                      <w:color w:val="auto"/>
                      <w:sz w:val="21"/>
                      <w:szCs w:val="21"/>
                      <w:lang w:val="en-US" w:eastAsia="zh-CN"/>
                    </w:rPr>
                    <w:t>0.5</w:t>
                  </w:r>
                  <w:r>
                    <w:rPr>
                      <w:rFonts w:hint="eastAsia"/>
                      <w:color w:val="auto"/>
                      <w:sz w:val="21"/>
                      <w:szCs w:val="21"/>
                    </w:rPr>
                    <w:t>千克/吨-</w:t>
                  </w:r>
                </w:p>
                <w:p>
                  <w:pPr>
                    <w:spacing w:line="240" w:lineRule="auto"/>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原料</w:t>
                  </w:r>
                </w:p>
              </w:tc>
              <w:tc>
                <w:tcPr>
                  <w:tcW w:w="1380" w:type="dxa"/>
                  <w:vAlign w:val="center"/>
                </w:tcPr>
                <w:p>
                  <w:pPr>
                    <w:spacing w:line="240" w:lineRule="auto"/>
                    <w:jc w:val="center"/>
                    <w:rPr>
                      <w:rFonts w:hint="eastAsia"/>
                      <w:color w:val="auto"/>
                      <w:sz w:val="21"/>
                      <w:szCs w:val="21"/>
                    </w:rPr>
                  </w:pPr>
                  <w:r>
                    <w:rPr>
                      <w:rFonts w:hint="eastAsia"/>
                      <w:color w:val="auto"/>
                      <w:sz w:val="21"/>
                      <w:szCs w:val="21"/>
                      <w:lang w:val="en-US" w:eastAsia="zh-CN"/>
                    </w:rPr>
                    <w:t>17</w:t>
                  </w:r>
                  <w:r>
                    <w:rPr>
                      <w:color w:val="auto"/>
                      <w:sz w:val="21"/>
                      <w:szCs w:val="21"/>
                    </w:rPr>
                    <w:t>S</w:t>
                  </w:r>
                  <w:r>
                    <w:rPr>
                      <w:rFonts w:hint="eastAsia"/>
                      <w:color w:val="auto"/>
                      <w:sz w:val="21"/>
                      <w:szCs w:val="21"/>
                    </w:rPr>
                    <w:t>千克/吨-</w:t>
                  </w:r>
                </w:p>
                <w:p>
                  <w:pPr>
                    <w:spacing w:line="240" w:lineRule="auto"/>
                    <w:jc w:val="center"/>
                    <w:rPr>
                      <w:color w:val="auto"/>
                      <w:sz w:val="21"/>
                      <w:szCs w:val="21"/>
                    </w:rPr>
                  </w:pPr>
                  <w:r>
                    <w:rPr>
                      <w:rFonts w:hint="eastAsia"/>
                      <w:color w:val="auto"/>
                      <w:sz w:val="21"/>
                      <w:szCs w:val="21"/>
                    </w:rPr>
                    <w:t>原料</w:t>
                  </w:r>
                </w:p>
              </w:tc>
              <w:tc>
                <w:tcPr>
                  <w:tcW w:w="1488" w:type="dxa"/>
                  <w:vAlign w:val="center"/>
                </w:tcPr>
                <w:p>
                  <w:pPr>
                    <w:spacing w:line="240" w:lineRule="auto"/>
                    <w:jc w:val="center"/>
                    <w:rPr>
                      <w:rFonts w:hint="eastAsia"/>
                      <w:color w:val="auto"/>
                      <w:sz w:val="21"/>
                      <w:szCs w:val="21"/>
                    </w:rPr>
                  </w:pPr>
                  <w:r>
                    <w:rPr>
                      <w:rFonts w:hint="eastAsia"/>
                      <w:color w:val="auto"/>
                      <w:sz w:val="21"/>
                      <w:szCs w:val="21"/>
                      <w:lang w:val="en-US" w:eastAsia="zh-CN"/>
                    </w:rPr>
                    <w:t>1.02</w:t>
                  </w:r>
                  <w:r>
                    <w:rPr>
                      <w:rFonts w:hint="eastAsia"/>
                      <w:color w:val="auto"/>
                      <w:sz w:val="21"/>
                      <w:szCs w:val="21"/>
                    </w:rPr>
                    <w:t>千克/吨-</w:t>
                  </w:r>
                </w:p>
                <w:p>
                  <w:pPr>
                    <w:spacing w:line="240" w:lineRule="auto"/>
                    <w:jc w:val="center"/>
                    <w:rPr>
                      <w:color w:val="auto"/>
                      <w:sz w:val="21"/>
                      <w:szCs w:val="21"/>
                    </w:rPr>
                  </w:pPr>
                  <w:r>
                    <w:rPr>
                      <w:rFonts w:hint="eastAsia"/>
                      <w:color w:val="auto"/>
                      <w:sz w:val="21"/>
                      <w:szCs w:val="21"/>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color w:val="auto"/>
                      <w:sz w:val="21"/>
                      <w:szCs w:val="21"/>
                    </w:rPr>
                  </w:pPr>
                  <w:r>
                    <w:rPr>
                      <w:rFonts w:hint="eastAsia"/>
                      <w:color w:val="auto"/>
                      <w:sz w:val="21"/>
                      <w:szCs w:val="21"/>
                    </w:rPr>
                    <w:t>产生量</w:t>
                  </w:r>
                </w:p>
              </w:tc>
              <w:tc>
                <w:tcPr>
                  <w:tcW w:w="1670" w:type="dxa"/>
                  <w:vAlign w:val="center"/>
                </w:tcPr>
                <w:p>
                  <w:pPr>
                    <w:spacing w:line="240" w:lineRule="auto"/>
                    <w:jc w:val="center"/>
                    <w:rPr>
                      <w:color w:val="auto"/>
                      <w:sz w:val="21"/>
                      <w:szCs w:val="21"/>
                    </w:rPr>
                  </w:pPr>
                  <w:r>
                    <w:rPr>
                      <w:rFonts w:hint="default" w:ascii="Times New Roman" w:hAnsi="Times New Roman" w:cs="Times New Roman"/>
                      <w:color w:val="auto"/>
                      <w:lang w:val="en-US" w:eastAsia="zh-CN"/>
                    </w:rPr>
                    <w:t>6177600</w:t>
                  </w:r>
                  <w:r>
                    <w:rPr>
                      <w:color w:val="auto"/>
                      <w:sz w:val="21"/>
                      <w:szCs w:val="21"/>
                    </w:rPr>
                    <w:t>Nm</w:t>
                  </w:r>
                  <w:r>
                    <w:rPr>
                      <w:color w:val="auto"/>
                      <w:sz w:val="21"/>
                      <w:szCs w:val="21"/>
                      <w:vertAlign w:val="superscript"/>
                    </w:rPr>
                    <w:t>3</w:t>
                  </w:r>
                  <w:r>
                    <w:rPr>
                      <w:color w:val="auto"/>
                      <w:sz w:val="21"/>
                      <w:szCs w:val="21"/>
                    </w:rPr>
                    <w:t>/</w:t>
                  </w:r>
                  <w:r>
                    <w:rPr>
                      <w:rFonts w:hint="eastAsia"/>
                      <w:color w:val="auto"/>
                      <w:sz w:val="21"/>
                      <w:szCs w:val="21"/>
                    </w:rPr>
                    <w:t>a</w:t>
                  </w:r>
                </w:p>
              </w:tc>
              <w:tc>
                <w:tcPr>
                  <w:tcW w:w="1310"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0.50</w:t>
                  </w:r>
                  <w:r>
                    <w:rPr>
                      <w:rFonts w:hint="eastAsia"/>
                      <w:color w:val="auto"/>
                      <w:sz w:val="21"/>
                      <w:szCs w:val="21"/>
                    </w:rPr>
                    <w:t>t/a</w:t>
                  </w:r>
                </w:p>
              </w:tc>
              <w:tc>
                <w:tcPr>
                  <w:tcW w:w="1380" w:type="dxa"/>
                  <w:vAlign w:val="center"/>
                </w:tcPr>
                <w:p>
                  <w:pPr>
                    <w:spacing w:line="240" w:lineRule="auto"/>
                    <w:jc w:val="center"/>
                    <w:rPr>
                      <w:color w:val="auto"/>
                      <w:sz w:val="21"/>
                      <w:szCs w:val="21"/>
                    </w:rPr>
                  </w:pPr>
                  <w:r>
                    <w:rPr>
                      <w:rFonts w:hint="eastAsia"/>
                      <w:color w:val="auto"/>
                      <w:sz w:val="21"/>
                      <w:szCs w:val="21"/>
                      <w:lang w:val="en-US" w:eastAsia="zh-CN"/>
                    </w:rPr>
                    <w:t>1.68</w:t>
                  </w:r>
                  <w:r>
                    <w:rPr>
                      <w:rFonts w:hint="eastAsia"/>
                      <w:color w:val="auto"/>
                      <w:sz w:val="21"/>
                      <w:szCs w:val="21"/>
                    </w:rPr>
                    <w:t>t/a</w:t>
                  </w:r>
                </w:p>
              </w:tc>
              <w:tc>
                <w:tcPr>
                  <w:tcW w:w="1488" w:type="dxa"/>
                  <w:vAlign w:val="center"/>
                </w:tcPr>
                <w:p>
                  <w:pPr>
                    <w:spacing w:line="240" w:lineRule="auto"/>
                    <w:jc w:val="center"/>
                    <w:rPr>
                      <w:color w:val="auto"/>
                      <w:sz w:val="21"/>
                      <w:szCs w:val="21"/>
                    </w:rPr>
                  </w:pPr>
                  <w:r>
                    <w:rPr>
                      <w:rFonts w:hint="eastAsia"/>
                      <w:color w:val="auto"/>
                      <w:sz w:val="21"/>
                      <w:szCs w:val="21"/>
                      <w:lang w:val="en-US" w:eastAsia="zh-CN"/>
                    </w:rPr>
                    <w:t>1.02</w:t>
                  </w:r>
                  <w:r>
                    <w:rPr>
                      <w:rFonts w:hint="eastAsia"/>
                      <w:color w:val="auto"/>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color w:val="auto"/>
                      <w:sz w:val="21"/>
                      <w:szCs w:val="21"/>
                    </w:rPr>
                  </w:pPr>
                  <w:r>
                    <w:rPr>
                      <w:color w:val="auto"/>
                      <w:sz w:val="21"/>
                      <w:szCs w:val="21"/>
                    </w:rPr>
                    <w:t>产生速率</w:t>
                  </w:r>
                </w:p>
              </w:tc>
              <w:tc>
                <w:tcPr>
                  <w:tcW w:w="1670" w:type="dxa"/>
                  <w:vAlign w:val="center"/>
                </w:tcPr>
                <w:p>
                  <w:pPr>
                    <w:spacing w:line="240" w:lineRule="auto"/>
                    <w:jc w:val="center"/>
                    <w:rPr>
                      <w:color w:val="auto"/>
                      <w:sz w:val="21"/>
                      <w:szCs w:val="21"/>
                    </w:rPr>
                  </w:pPr>
                  <w:r>
                    <w:rPr>
                      <w:rFonts w:hint="eastAsia"/>
                      <w:color w:val="auto"/>
                      <w:sz w:val="21"/>
                      <w:szCs w:val="21"/>
                      <w:lang w:val="en-US" w:eastAsia="zh-CN"/>
                    </w:rPr>
                    <w:t>7722</w:t>
                  </w:r>
                  <w:r>
                    <w:rPr>
                      <w:color w:val="auto"/>
                      <w:sz w:val="21"/>
                      <w:szCs w:val="21"/>
                    </w:rPr>
                    <w:t>Nm</w:t>
                  </w:r>
                  <w:r>
                    <w:rPr>
                      <w:color w:val="auto"/>
                      <w:sz w:val="21"/>
                      <w:szCs w:val="21"/>
                      <w:vertAlign w:val="superscript"/>
                    </w:rPr>
                    <w:t>3</w:t>
                  </w:r>
                  <w:r>
                    <w:rPr>
                      <w:color w:val="auto"/>
                      <w:sz w:val="21"/>
                      <w:szCs w:val="21"/>
                    </w:rPr>
                    <w:t>/</w:t>
                  </w:r>
                  <w:r>
                    <w:rPr>
                      <w:rFonts w:hint="eastAsia"/>
                      <w:color w:val="auto"/>
                      <w:sz w:val="21"/>
                      <w:szCs w:val="21"/>
                    </w:rPr>
                    <w:t>h</w:t>
                  </w:r>
                </w:p>
              </w:tc>
              <w:tc>
                <w:tcPr>
                  <w:tcW w:w="1310"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0.619</w:t>
                  </w:r>
                  <w:r>
                    <w:rPr>
                      <w:color w:val="auto"/>
                      <w:sz w:val="21"/>
                      <w:szCs w:val="21"/>
                    </w:rPr>
                    <w:t>kg/h</w:t>
                  </w:r>
                </w:p>
              </w:tc>
              <w:tc>
                <w:tcPr>
                  <w:tcW w:w="1380" w:type="dxa"/>
                  <w:vAlign w:val="center"/>
                </w:tcPr>
                <w:p>
                  <w:pPr>
                    <w:spacing w:line="240" w:lineRule="auto"/>
                    <w:jc w:val="center"/>
                    <w:rPr>
                      <w:color w:val="auto"/>
                      <w:sz w:val="21"/>
                      <w:szCs w:val="21"/>
                    </w:rPr>
                  </w:pPr>
                  <w:r>
                    <w:rPr>
                      <w:rFonts w:hint="eastAsia"/>
                      <w:color w:val="auto"/>
                      <w:sz w:val="21"/>
                      <w:szCs w:val="21"/>
                      <w:lang w:val="en-US" w:eastAsia="zh-CN"/>
                    </w:rPr>
                    <w:t>2.104</w:t>
                  </w:r>
                  <w:r>
                    <w:rPr>
                      <w:color w:val="auto"/>
                      <w:sz w:val="21"/>
                      <w:szCs w:val="21"/>
                    </w:rPr>
                    <w:t>kg/h</w:t>
                  </w:r>
                </w:p>
              </w:tc>
              <w:tc>
                <w:tcPr>
                  <w:tcW w:w="1488" w:type="dxa"/>
                  <w:vAlign w:val="center"/>
                </w:tcPr>
                <w:p>
                  <w:pPr>
                    <w:spacing w:line="240" w:lineRule="auto"/>
                    <w:jc w:val="center"/>
                    <w:rPr>
                      <w:color w:val="auto"/>
                      <w:sz w:val="21"/>
                      <w:szCs w:val="21"/>
                    </w:rPr>
                  </w:pPr>
                  <w:r>
                    <w:rPr>
                      <w:rFonts w:hint="eastAsia"/>
                      <w:color w:val="auto"/>
                      <w:sz w:val="21"/>
                      <w:szCs w:val="21"/>
                      <w:lang w:val="en-US" w:eastAsia="zh-CN"/>
                    </w:rPr>
                    <w:t>1.275</w:t>
                  </w:r>
                  <w:r>
                    <w:rPr>
                      <w:color w:val="auto"/>
                      <w:sz w:val="21"/>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color w:val="auto"/>
                      <w:sz w:val="21"/>
                      <w:szCs w:val="21"/>
                    </w:rPr>
                  </w:pPr>
                  <w:r>
                    <w:rPr>
                      <w:color w:val="auto"/>
                      <w:sz w:val="21"/>
                      <w:szCs w:val="21"/>
                    </w:rPr>
                    <w:t>产生浓度</w:t>
                  </w:r>
                </w:p>
              </w:tc>
              <w:tc>
                <w:tcPr>
                  <w:tcW w:w="1670" w:type="dxa"/>
                  <w:vAlign w:val="center"/>
                </w:tcPr>
                <w:p>
                  <w:pPr>
                    <w:spacing w:line="240" w:lineRule="auto"/>
                    <w:jc w:val="center"/>
                    <w:rPr>
                      <w:color w:val="auto"/>
                      <w:sz w:val="21"/>
                      <w:szCs w:val="21"/>
                    </w:rPr>
                  </w:pPr>
                  <w:r>
                    <w:rPr>
                      <w:color w:val="auto"/>
                      <w:sz w:val="21"/>
                      <w:szCs w:val="21"/>
                    </w:rPr>
                    <w:t>/</w:t>
                  </w:r>
                </w:p>
              </w:tc>
              <w:tc>
                <w:tcPr>
                  <w:tcW w:w="1310"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80.16</w:t>
                  </w:r>
                  <w:r>
                    <w:rPr>
                      <w:color w:val="auto"/>
                      <w:sz w:val="21"/>
                      <w:szCs w:val="21"/>
                    </w:rPr>
                    <w:t>mg/m</w:t>
                  </w:r>
                  <w:r>
                    <w:rPr>
                      <w:color w:val="auto"/>
                      <w:sz w:val="21"/>
                      <w:szCs w:val="21"/>
                      <w:vertAlign w:val="superscript"/>
                    </w:rPr>
                    <w:t>3</w:t>
                  </w:r>
                </w:p>
              </w:tc>
              <w:tc>
                <w:tcPr>
                  <w:tcW w:w="1380" w:type="dxa"/>
                  <w:vAlign w:val="center"/>
                </w:tcPr>
                <w:p>
                  <w:pPr>
                    <w:spacing w:line="240" w:lineRule="auto"/>
                    <w:jc w:val="center"/>
                    <w:rPr>
                      <w:color w:val="auto"/>
                      <w:sz w:val="21"/>
                      <w:szCs w:val="21"/>
                    </w:rPr>
                  </w:pPr>
                  <w:r>
                    <w:rPr>
                      <w:rFonts w:hint="eastAsia"/>
                      <w:color w:val="auto"/>
                      <w:sz w:val="21"/>
                      <w:szCs w:val="21"/>
                      <w:lang w:val="en-US" w:eastAsia="zh-CN"/>
                    </w:rPr>
                    <w:t>272.44</w:t>
                  </w:r>
                  <w:r>
                    <w:rPr>
                      <w:color w:val="auto"/>
                      <w:sz w:val="21"/>
                      <w:szCs w:val="21"/>
                    </w:rPr>
                    <w:t>mg/m</w:t>
                  </w:r>
                  <w:r>
                    <w:rPr>
                      <w:color w:val="auto"/>
                      <w:sz w:val="21"/>
                      <w:szCs w:val="21"/>
                      <w:vertAlign w:val="superscript"/>
                    </w:rPr>
                    <w:t>3</w:t>
                  </w:r>
                </w:p>
              </w:tc>
              <w:tc>
                <w:tcPr>
                  <w:tcW w:w="1488" w:type="dxa"/>
                  <w:vAlign w:val="center"/>
                </w:tcPr>
                <w:p>
                  <w:pPr>
                    <w:spacing w:line="240" w:lineRule="auto"/>
                    <w:jc w:val="center"/>
                    <w:rPr>
                      <w:color w:val="auto"/>
                      <w:sz w:val="21"/>
                      <w:szCs w:val="21"/>
                    </w:rPr>
                  </w:pPr>
                  <w:r>
                    <w:rPr>
                      <w:rFonts w:hint="eastAsia"/>
                      <w:color w:val="auto"/>
                      <w:sz w:val="21"/>
                      <w:szCs w:val="21"/>
                      <w:lang w:val="en-US" w:eastAsia="zh-CN"/>
                    </w:rPr>
                    <w:t>165.11</w:t>
                  </w:r>
                  <w:r>
                    <w:rPr>
                      <w:color w:val="auto"/>
                      <w:sz w:val="21"/>
                      <w:szCs w:val="21"/>
                    </w:rPr>
                    <w:t>mg/m</w:t>
                  </w:r>
                  <w:r>
                    <w:rPr>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处理设施</w:t>
                  </w:r>
                </w:p>
              </w:tc>
              <w:tc>
                <w:tcPr>
                  <w:tcW w:w="5848" w:type="dxa"/>
                  <w:gridSpan w:val="4"/>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布袋除尘器+15m高排气筒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排放</w:t>
                  </w:r>
                  <w:r>
                    <w:rPr>
                      <w:rFonts w:hint="eastAsia"/>
                      <w:color w:val="auto"/>
                      <w:sz w:val="21"/>
                      <w:szCs w:val="21"/>
                    </w:rPr>
                    <w:t>量</w:t>
                  </w:r>
                </w:p>
              </w:tc>
              <w:tc>
                <w:tcPr>
                  <w:tcW w:w="1670"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6177600</w:t>
                  </w:r>
                  <w:r>
                    <w:rPr>
                      <w:color w:val="auto"/>
                      <w:sz w:val="21"/>
                      <w:szCs w:val="21"/>
                    </w:rPr>
                    <w:t>Nm</w:t>
                  </w:r>
                  <w:r>
                    <w:rPr>
                      <w:color w:val="auto"/>
                      <w:sz w:val="21"/>
                      <w:szCs w:val="21"/>
                      <w:vertAlign w:val="superscript"/>
                    </w:rPr>
                    <w:t>3</w:t>
                  </w:r>
                  <w:r>
                    <w:rPr>
                      <w:color w:val="auto"/>
                      <w:sz w:val="21"/>
                      <w:szCs w:val="21"/>
                    </w:rPr>
                    <w:t>/</w:t>
                  </w:r>
                  <w:r>
                    <w:rPr>
                      <w:rFonts w:hint="eastAsia"/>
                      <w:color w:val="auto"/>
                      <w:sz w:val="21"/>
                      <w:szCs w:val="21"/>
                    </w:rPr>
                    <w:t>a</w:t>
                  </w:r>
                </w:p>
              </w:tc>
              <w:tc>
                <w:tcPr>
                  <w:tcW w:w="131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0.005</w:t>
                  </w:r>
                  <w:r>
                    <w:rPr>
                      <w:rFonts w:hint="eastAsia"/>
                      <w:color w:val="auto"/>
                      <w:sz w:val="21"/>
                      <w:szCs w:val="21"/>
                    </w:rPr>
                    <w:t>t/a</w:t>
                  </w:r>
                </w:p>
              </w:tc>
              <w:tc>
                <w:tcPr>
                  <w:tcW w:w="138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1.68</w:t>
                  </w:r>
                  <w:r>
                    <w:rPr>
                      <w:rFonts w:hint="eastAsia"/>
                      <w:color w:val="auto"/>
                      <w:sz w:val="21"/>
                      <w:szCs w:val="21"/>
                    </w:rPr>
                    <w:t>t/a</w:t>
                  </w:r>
                </w:p>
              </w:tc>
              <w:tc>
                <w:tcPr>
                  <w:tcW w:w="1488"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1.02</w:t>
                  </w:r>
                  <w:r>
                    <w:rPr>
                      <w:rFonts w:hint="eastAsia"/>
                      <w:color w:val="auto"/>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color w:val="auto"/>
                      <w:sz w:val="21"/>
                      <w:szCs w:val="21"/>
                    </w:rPr>
                    <w:t>产生速率</w:t>
                  </w:r>
                </w:p>
              </w:tc>
              <w:tc>
                <w:tcPr>
                  <w:tcW w:w="1670"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7722</w:t>
                  </w:r>
                  <w:r>
                    <w:rPr>
                      <w:color w:val="auto"/>
                      <w:sz w:val="21"/>
                      <w:szCs w:val="21"/>
                    </w:rPr>
                    <w:t>Nm</w:t>
                  </w:r>
                  <w:r>
                    <w:rPr>
                      <w:color w:val="auto"/>
                      <w:sz w:val="21"/>
                      <w:szCs w:val="21"/>
                      <w:vertAlign w:val="superscript"/>
                    </w:rPr>
                    <w:t>3</w:t>
                  </w:r>
                  <w:r>
                    <w:rPr>
                      <w:color w:val="auto"/>
                      <w:sz w:val="21"/>
                      <w:szCs w:val="21"/>
                    </w:rPr>
                    <w:t>/</w:t>
                  </w:r>
                  <w:r>
                    <w:rPr>
                      <w:rFonts w:hint="eastAsia"/>
                      <w:color w:val="auto"/>
                      <w:sz w:val="21"/>
                      <w:szCs w:val="21"/>
                    </w:rPr>
                    <w:t>h</w:t>
                  </w:r>
                </w:p>
              </w:tc>
              <w:tc>
                <w:tcPr>
                  <w:tcW w:w="131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0.006</w:t>
                  </w:r>
                  <w:r>
                    <w:rPr>
                      <w:color w:val="auto"/>
                      <w:sz w:val="21"/>
                      <w:szCs w:val="21"/>
                    </w:rPr>
                    <w:t>kg/h</w:t>
                  </w:r>
                </w:p>
              </w:tc>
              <w:tc>
                <w:tcPr>
                  <w:tcW w:w="138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2.104</w:t>
                  </w:r>
                  <w:r>
                    <w:rPr>
                      <w:color w:val="auto"/>
                      <w:sz w:val="21"/>
                      <w:szCs w:val="21"/>
                    </w:rPr>
                    <w:t>kg/h</w:t>
                  </w:r>
                </w:p>
              </w:tc>
              <w:tc>
                <w:tcPr>
                  <w:tcW w:w="1488"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1.275</w:t>
                  </w:r>
                  <w:r>
                    <w:rPr>
                      <w:color w:val="auto"/>
                      <w:sz w:val="21"/>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color w:val="auto"/>
                      <w:sz w:val="21"/>
                      <w:szCs w:val="21"/>
                    </w:rPr>
                    <w:t>产生浓度</w:t>
                  </w:r>
                </w:p>
              </w:tc>
              <w:tc>
                <w:tcPr>
                  <w:tcW w:w="1670" w:type="dxa"/>
                  <w:vAlign w:val="center"/>
                </w:tcPr>
                <w:p>
                  <w:pPr>
                    <w:spacing w:line="240" w:lineRule="auto"/>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131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0.80</w:t>
                  </w:r>
                  <w:r>
                    <w:rPr>
                      <w:color w:val="auto"/>
                      <w:sz w:val="21"/>
                      <w:szCs w:val="21"/>
                    </w:rPr>
                    <w:t>mg/m</w:t>
                  </w:r>
                  <w:r>
                    <w:rPr>
                      <w:color w:val="auto"/>
                      <w:sz w:val="21"/>
                      <w:szCs w:val="21"/>
                      <w:vertAlign w:val="superscript"/>
                    </w:rPr>
                    <w:t>3</w:t>
                  </w:r>
                </w:p>
              </w:tc>
              <w:tc>
                <w:tcPr>
                  <w:tcW w:w="138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272.44</w:t>
                  </w:r>
                  <w:r>
                    <w:rPr>
                      <w:color w:val="auto"/>
                      <w:sz w:val="21"/>
                      <w:szCs w:val="21"/>
                    </w:rPr>
                    <w:t>mg/m</w:t>
                  </w:r>
                  <w:r>
                    <w:rPr>
                      <w:color w:val="auto"/>
                      <w:sz w:val="21"/>
                      <w:szCs w:val="21"/>
                      <w:vertAlign w:val="superscript"/>
                    </w:rPr>
                    <w:t>3</w:t>
                  </w:r>
                </w:p>
              </w:tc>
              <w:tc>
                <w:tcPr>
                  <w:tcW w:w="1488"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165.11</w:t>
                  </w:r>
                  <w:r>
                    <w:rPr>
                      <w:color w:val="auto"/>
                      <w:sz w:val="21"/>
                      <w:szCs w:val="21"/>
                    </w:rPr>
                    <w:t>mg/m</w:t>
                  </w:r>
                  <w:r>
                    <w:rPr>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947" w:type="dxa"/>
                  <w:vAlign w:val="center"/>
                </w:tcPr>
                <w:p>
                  <w:pPr>
                    <w:spacing w:line="240" w:lineRule="auto"/>
                    <w:jc w:val="center"/>
                    <w:rPr>
                      <w:rFonts w:hint="eastAsia" w:eastAsia="宋体"/>
                      <w:color w:val="auto"/>
                      <w:sz w:val="21"/>
                      <w:szCs w:val="21"/>
                      <w:lang w:eastAsia="zh-CN"/>
                    </w:rPr>
                  </w:pPr>
                  <w:r>
                    <w:rPr>
                      <w:rFonts w:hint="eastAsia"/>
                      <w:color w:val="auto"/>
                      <w:szCs w:val="24"/>
                    </w:rPr>
                    <w:t>《大气污染物综合排放标准》（GB16297-1996）表2新污染源二级标准</w:t>
                  </w:r>
                </w:p>
              </w:tc>
              <w:tc>
                <w:tcPr>
                  <w:tcW w:w="1670" w:type="dxa"/>
                  <w:vAlign w:val="center"/>
                </w:tcPr>
                <w:p>
                  <w:pPr>
                    <w:spacing w:line="240" w:lineRule="auto"/>
                    <w:jc w:val="center"/>
                    <w:rPr>
                      <w:color w:val="auto"/>
                      <w:sz w:val="21"/>
                      <w:szCs w:val="21"/>
                    </w:rPr>
                  </w:pPr>
                  <w:r>
                    <w:rPr>
                      <w:color w:val="auto"/>
                      <w:sz w:val="21"/>
                      <w:szCs w:val="21"/>
                    </w:rPr>
                    <w:t>/</w:t>
                  </w:r>
                </w:p>
              </w:tc>
              <w:tc>
                <w:tcPr>
                  <w:tcW w:w="1310" w:type="dxa"/>
                  <w:vAlign w:val="center"/>
                </w:tcPr>
                <w:p>
                  <w:pPr>
                    <w:spacing w:line="240" w:lineRule="auto"/>
                    <w:jc w:val="center"/>
                    <w:rPr>
                      <w:color w:val="auto"/>
                      <w:sz w:val="21"/>
                      <w:szCs w:val="21"/>
                    </w:rPr>
                  </w:pPr>
                  <w:r>
                    <w:rPr>
                      <w:rFonts w:hint="eastAsia"/>
                      <w:color w:val="auto"/>
                      <w:sz w:val="21"/>
                      <w:szCs w:val="21"/>
                      <w:lang w:val="en-US" w:eastAsia="zh-CN"/>
                    </w:rPr>
                    <w:t>120</w:t>
                  </w:r>
                  <w:r>
                    <w:rPr>
                      <w:color w:val="auto"/>
                      <w:sz w:val="21"/>
                      <w:szCs w:val="21"/>
                    </w:rPr>
                    <w:t>mg/m</w:t>
                  </w:r>
                  <w:r>
                    <w:rPr>
                      <w:color w:val="auto"/>
                      <w:sz w:val="21"/>
                      <w:szCs w:val="21"/>
                      <w:vertAlign w:val="superscript"/>
                    </w:rPr>
                    <w:t>3</w:t>
                  </w:r>
                </w:p>
              </w:tc>
              <w:tc>
                <w:tcPr>
                  <w:tcW w:w="1380" w:type="dxa"/>
                  <w:vAlign w:val="center"/>
                </w:tcPr>
                <w:p>
                  <w:pPr>
                    <w:spacing w:line="240" w:lineRule="auto"/>
                    <w:jc w:val="center"/>
                    <w:rPr>
                      <w:color w:val="auto"/>
                      <w:sz w:val="21"/>
                      <w:szCs w:val="21"/>
                    </w:rPr>
                  </w:pPr>
                  <w:r>
                    <w:rPr>
                      <w:rFonts w:hint="eastAsia"/>
                      <w:color w:val="auto"/>
                      <w:sz w:val="21"/>
                      <w:szCs w:val="21"/>
                      <w:lang w:val="en-US" w:eastAsia="zh-CN"/>
                    </w:rPr>
                    <w:t>550</w:t>
                  </w:r>
                  <w:r>
                    <w:rPr>
                      <w:color w:val="auto"/>
                      <w:sz w:val="21"/>
                      <w:szCs w:val="21"/>
                    </w:rPr>
                    <w:t>mg/m</w:t>
                  </w:r>
                  <w:r>
                    <w:rPr>
                      <w:color w:val="auto"/>
                      <w:sz w:val="21"/>
                      <w:szCs w:val="21"/>
                      <w:vertAlign w:val="superscript"/>
                    </w:rPr>
                    <w:t>3</w:t>
                  </w:r>
                </w:p>
              </w:tc>
              <w:tc>
                <w:tcPr>
                  <w:tcW w:w="1488" w:type="dxa"/>
                  <w:vAlign w:val="center"/>
                </w:tcPr>
                <w:p>
                  <w:pPr>
                    <w:spacing w:line="240" w:lineRule="auto"/>
                    <w:jc w:val="center"/>
                    <w:rPr>
                      <w:color w:val="auto"/>
                      <w:sz w:val="21"/>
                      <w:szCs w:val="21"/>
                    </w:rPr>
                  </w:pPr>
                  <w:r>
                    <w:rPr>
                      <w:rFonts w:hint="eastAsia"/>
                      <w:color w:val="auto"/>
                      <w:sz w:val="21"/>
                      <w:szCs w:val="21"/>
                      <w:lang w:val="en-US" w:eastAsia="zh-CN"/>
                    </w:rPr>
                    <w:t>240</w:t>
                  </w:r>
                  <w:r>
                    <w:rPr>
                      <w:color w:val="auto"/>
                      <w:sz w:val="21"/>
                      <w:szCs w:val="21"/>
                    </w:rPr>
                    <w:t>mg/m</w:t>
                  </w:r>
                  <w:r>
                    <w:rPr>
                      <w:color w:val="auto"/>
                      <w:sz w:val="21"/>
                      <w:szCs w:val="21"/>
                      <w:vertAlign w:val="superscript"/>
                    </w:rPr>
                    <w:t>3</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rPr>
                <w:rFonts w:hint="default" w:ascii="Times New Roman" w:hAnsi="Times New Roman" w:cs="Times New Roman"/>
                <w:lang w:val="en-US" w:eastAsia="zh-CN"/>
              </w:rPr>
            </w:pPr>
            <w:r>
              <w:rPr>
                <w:rFonts w:hint="default" w:ascii="Times New Roman" w:hAnsi="Times New Roman" w:cs="Times New Roman"/>
                <w:color w:val="auto"/>
                <w:lang w:val="en-US" w:eastAsia="zh-CN"/>
              </w:rPr>
              <w:t>由</w:t>
            </w:r>
            <w:r>
              <w:rPr>
                <w:rFonts w:hint="eastAsia" w:ascii="Times New Roman" w:hAnsi="Times New Roman" w:cs="Times New Roman"/>
                <w:color w:val="auto"/>
                <w:lang w:val="en-US" w:eastAsia="zh-CN"/>
              </w:rPr>
              <w:t>上表</w:t>
            </w:r>
            <w:r>
              <w:rPr>
                <w:rFonts w:hint="default" w:ascii="Times New Roman" w:hAnsi="Times New Roman" w:cs="Times New Roman"/>
                <w:color w:val="auto"/>
                <w:lang w:val="en-US" w:eastAsia="zh-CN"/>
              </w:rPr>
              <w:t>得知，本项目生物质燃料燃烧废气污染物颗粒</w:t>
            </w:r>
            <w:r>
              <w:rPr>
                <w:rFonts w:hint="default" w:ascii="Times New Roman" w:hAnsi="Times New Roman" w:cs="Times New Roman"/>
                <w:lang w:val="en-US" w:eastAsia="zh-CN"/>
              </w:rPr>
              <w:t>物、SO</w:t>
            </w:r>
            <w:r>
              <w:rPr>
                <w:rFonts w:hint="default" w:ascii="Times New Roman" w:hAnsi="Times New Roman" w:cs="Times New Roman"/>
                <w:vertAlign w:val="subscript"/>
                <w:lang w:val="en-US" w:eastAsia="zh-CN"/>
              </w:rPr>
              <w:t>2</w:t>
            </w:r>
            <w:r>
              <w:rPr>
                <w:rFonts w:hint="eastAsia" w:ascii="Times New Roman" w:hAnsi="Times New Roman" w:cs="Times New Roman"/>
                <w:vertAlign w:val="baseline"/>
                <w:lang w:val="en-US" w:eastAsia="zh-CN"/>
              </w:rPr>
              <w:t>、</w:t>
            </w:r>
            <w:r>
              <w:rPr>
                <w:rFonts w:hint="default" w:ascii="Times New Roman" w:hAnsi="Times New Roman" w:cs="Times New Roman"/>
                <w:lang w:val="en-US" w:eastAsia="zh-CN"/>
              </w:rPr>
              <w:t>NOx排放符合《大气污染物综合排放标准》（GB16297-1996）表2新污染源大气污染物排放浓度标准限值。</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w:t>
            </w:r>
            <w:r>
              <w:rPr>
                <w:rFonts w:hint="eastAsia" w:ascii="Times New Roman" w:hAnsi="Times New Roman" w:cs="Times New Roman"/>
                <w:color w:val="auto"/>
                <w:lang w:val="en-US" w:eastAsia="zh-CN"/>
              </w:rPr>
              <w:t>瓜子水煮、辣椒烘干</w:t>
            </w:r>
            <w:r>
              <w:rPr>
                <w:rFonts w:hint="default" w:ascii="Times New Roman" w:hAnsi="Times New Roman" w:eastAsia="宋体" w:cs="Times New Roman"/>
                <w:color w:val="auto"/>
                <w:lang w:val="en-US" w:eastAsia="zh-CN"/>
              </w:rPr>
              <w:t>工序</w:t>
            </w:r>
            <w:r>
              <w:rPr>
                <w:rFonts w:hint="default" w:ascii="Times New Roman" w:hAnsi="Times New Roman" w:cs="Times New Roman"/>
                <w:color w:val="auto"/>
                <w:lang w:val="en-US" w:eastAsia="zh-CN"/>
              </w:rPr>
              <w:t>异味</w:t>
            </w:r>
          </w:p>
          <w:p>
            <w:pPr>
              <w:pStyle w:val="6"/>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本项目生产过程中</w:t>
            </w:r>
            <w:r>
              <w:rPr>
                <w:rFonts w:hint="eastAsia" w:ascii="Times New Roman" w:hAnsi="Times New Roman" w:cs="Times New Roman"/>
                <w:color w:val="auto"/>
                <w:lang w:val="en-US" w:eastAsia="zh-CN"/>
              </w:rPr>
              <w:t>瓜子水煮、辣椒烘干</w:t>
            </w:r>
            <w:r>
              <w:rPr>
                <w:rFonts w:hint="default" w:ascii="Times New Roman" w:hAnsi="Times New Roman" w:cs="Times New Roman"/>
                <w:color w:val="auto"/>
                <w:lang w:val="en-US" w:eastAsia="zh-CN"/>
              </w:rPr>
              <w:t>工序会产生少量的异味（香味、辛辣气味）气体，此异味成分复杂，但无毒无害，且影响范围较小，本环评不作定量分析，环评建议加强厂房通风。</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③筛选</w:t>
            </w:r>
            <w:r>
              <w:rPr>
                <w:rFonts w:hint="eastAsia" w:ascii="Times New Roman" w:hAnsi="Times New Roman" w:cs="Times New Roman"/>
                <w:color w:val="auto"/>
                <w:lang w:val="en-US" w:eastAsia="zh-CN"/>
              </w:rPr>
              <w:t>脱皮</w:t>
            </w:r>
            <w:r>
              <w:rPr>
                <w:rFonts w:hint="default" w:ascii="Times New Roman" w:hAnsi="Times New Roman" w:eastAsia="宋体" w:cs="Times New Roman"/>
                <w:color w:val="auto"/>
                <w:lang w:val="en-US" w:eastAsia="zh-CN"/>
              </w:rPr>
              <w:t>工序粉尘</w:t>
            </w:r>
          </w:p>
          <w:p>
            <w:pPr>
              <w:pStyle w:val="6"/>
              <w:bidi w:val="0"/>
              <w:rPr>
                <w:rFonts w:hint="eastAsia"/>
                <w:color w:val="auto"/>
                <w:lang w:val="en-US" w:eastAsia="zh-CN"/>
              </w:rPr>
            </w:pPr>
            <w:r>
              <w:rPr>
                <w:rFonts w:hint="default" w:ascii="Times New Roman" w:hAnsi="Times New Roman" w:eastAsia="宋体" w:cs="Times New Roman"/>
                <w:color w:val="auto"/>
                <w:lang w:val="en-US" w:eastAsia="zh-CN"/>
              </w:rPr>
              <w:t>项目产品筛选</w:t>
            </w:r>
            <w:r>
              <w:rPr>
                <w:rFonts w:hint="eastAsia" w:ascii="Times New Roman" w:hAnsi="Times New Roman" w:cs="Times New Roman"/>
                <w:color w:val="auto"/>
                <w:lang w:val="en-US" w:eastAsia="zh-CN"/>
              </w:rPr>
              <w:t>、脱皮</w:t>
            </w:r>
            <w:r>
              <w:rPr>
                <w:rFonts w:hint="default" w:ascii="Times New Roman" w:hAnsi="Times New Roman" w:eastAsia="宋体" w:cs="Times New Roman"/>
                <w:color w:val="auto"/>
                <w:lang w:val="en-US" w:eastAsia="zh-CN"/>
              </w:rPr>
              <w:t>过程废气产生量参照《排放源统计调查产排污核算方法和系数手册》（公告2021年第24号）--1314杂粮加工使用的产污系数--0.085kg/t，则筛选</w:t>
            </w:r>
            <w:r>
              <w:rPr>
                <w:rFonts w:hint="eastAsia" w:ascii="Times New Roman" w:hAnsi="Times New Roman" w:cs="Times New Roman"/>
                <w:color w:val="auto"/>
                <w:lang w:val="en-US" w:eastAsia="zh-CN"/>
              </w:rPr>
              <w:t>、脱皮</w:t>
            </w:r>
            <w:r>
              <w:rPr>
                <w:rFonts w:hint="default" w:ascii="Times New Roman" w:hAnsi="Times New Roman" w:eastAsia="宋体" w:cs="Times New Roman"/>
                <w:color w:val="auto"/>
                <w:lang w:val="en-US" w:eastAsia="zh-CN"/>
              </w:rPr>
              <w:t>过程粉尘产生量为0.</w:t>
            </w:r>
            <w:r>
              <w:rPr>
                <w:rFonts w:hint="default" w:ascii="Times New Roman" w:hAnsi="Times New Roman" w:cs="Times New Roman"/>
                <w:color w:val="auto"/>
                <w:lang w:val="en-US" w:eastAsia="zh-CN"/>
              </w:rPr>
              <w:t>227</w:t>
            </w:r>
            <w:r>
              <w:rPr>
                <w:rFonts w:hint="default" w:ascii="Times New Roman" w:hAnsi="Times New Roman" w:eastAsia="宋体" w:cs="Times New Roman"/>
                <w:color w:val="auto"/>
                <w:lang w:val="en-US" w:eastAsia="zh-CN"/>
              </w:rPr>
              <w:t>t/a；项目筛选</w:t>
            </w:r>
            <w:r>
              <w:rPr>
                <w:rFonts w:hint="eastAsia" w:ascii="Times New Roman" w:hAnsi="Times New Roman" w:cs="Times New Roman"/>
                <w:color w:val="auto"/>
                <w:lang w:val="en-US" w:eastAsia="zh-CN"/>
              </w:rPr>
              <w:t>、脱皮</w:t>
            </w:r>
            <w:r>
              <w:rPr>
                <w:rFonts w:hint="default" w:ascii="Times New Roman" w:hAnsi="Times New Roman" w:eastAsia="宋体" w:cs="Times New Roman"/>
                <w:color w:val="auto"/>
                <w:lang w:val="en-US" w:eastAsia="zh-CN"/>
              </w:rPr>
              <w:t>过程均在全封闭</w:t>
            </w:r>
            <w:r>
              <w:rPr>
                <w:rFonts w:hint="default" w:ascii="Times New Roman" w:hAnsi="Times New Roman" w:cs="Times New Roman"/>
                <w:color w:val="auto"/>
                <w:lang w:val="en-US" w:eastAsia="zh-CN"/>
              </w:rPr>
              <w:t>设备</w:t>
            </w:r>
            <w:r>
              <w:rPr>
                <w:rFonts w:hint="default" w:ascii="Times New Roman" w:hAnsi="Times New Roman" w:eastAsia="宋体" w:cs="Times New Roman"/>
                <w:color w:val="auto"/>
                <w:lang w:val="en-US" w:eastAsia="zh-CN"/>
              </w:rPr>
              <w:t>内进行，产生的废气通过设备自带收尘装置收集后，以无组织形式排放，抑尘率按99%计，则筛选</w:t>
            </w:r>
            <w:r>
              <w:rPr>
                <w:rFonts w:hint="eastAsia" w:ascii="Times New Roman" w:hAnsi="Times New Roman" w:cs="Times New Roman"/>
                <w:color w:val="auto"/>
                <w:lang w:val="en-US" w:eastAsia="zh-CN"/>
              </w:rPr>
              <w:t>、脱皮</w:t>
            </w:r>
            <w:r>
              <w:rPr>
                <w:rFonts w:hint="default" w:ascii="Times New Roman" w:hAnsi="Times New Roman" w:eastAsia="宋体" w:cs="Times New Roman"/>
                <w:color w:val="auto"/>
                <w:lang w:val="en-US" w:eastAsia="zh-CN"/>
              </w:rPr>
              <w:t>过程颗粒物排放量为0.00</w:t>
            </w:r>
            <w:r>
              <w:rPr>
                <w:rFonts w:hint="default" w:ascii="Times New Roman" w:hAnsi="Times New Roman" w:cs="Times New Roman"/>
                <w:color w:val="auto"/>
                <w:lang w:val="en-US" w:eastAsia="zh-CN"/>
              </w:rPr>
              <w:t>227</w:t>
            </w:r>
            <w:r>
              <w:rPr>
                <w:rFonts w:hint="default" w:ascii="Times New Roman" w:hAnsi="Times New Roman" w:eastAsia="宋体" w:cs="Times New Roman"/>
                <w:color w:val="auto"/>
                <w:lang w:val="en-US" w:eastAsia="zh-CN"/>
              </w:rPr>
              <w:t>t/a；同时企业加强卸料环节作业管理，及时清理散落的粉尘，防止造成二次污染。</w:t>
            </w:r>
          </w:p>
          <w:p>
            <w:pPr>
              <w:pStyle w:val="6"/>
              <w:numPr>
                <w:ilvl w:val="0"/>
                <w:numId w:val="1"/>
              </w:numPr>
              <w:bidi w:val="0"/>
              <w:rPr>
                <w:rFonts w:hint="default"/>
                <w:color w:val="FF0000"/>
                <w:highlight w:val="none"/>
                <w:lang w:val="en-US" w:eastAsia="zh-CN"/>
              </w:rPr>
            </w:pPr>
            <w:r>
              <w:rPr>
                <w:rFonts w:hint="default"/>
                <w:color w:val="FF0000"/>
                <w:highlight w:val="none"/>
                <w:lang w:val="en-US" w:eastAsia="zh-CN"/>
              </w:rPr>
              <w:t>废气</w:t>
            </w:r>
            <w:r>
              <w:rPr>
                <w:rFonts w:hint="eastAsia"/>
                <w:color w:val="FF0000"/>
                <w:highlight w:val="none"/>
                <w:lang w:val="en-US" w:eastAsia="zh-CN"/>
              </w:rPr>
              <w:t>污染治理措施可行性分析</w:t>
            </w:r>
          </w:p>
          <w:p>
            <w:pPr>
              <w:pStyle w:val="6"/>
              <w:bidi w:val="0"/>
              <w:rPr>
                <w:rFonts w:hint="eastAsia" w:ascii="Times New Roman" w:hAnsi="Times New Roman" w:cs="Times New Roman"/>
                <w:color w:val="FF0000"/>
                <w:highlight w:val="none"/>
                <w:lang w:val="en-US" w:eastAsia="zh-CN"/>
              </w:rPr>
            </w:pPr>
            <w:r>
              <w:rPr>
                <w:rFonts w:hint="default"/>
                <w:color w:val="FF0000"/>
                <w:highlight w:val="none"/>
                <w:lang w:val="en-US" w:eastAsia="zh-CN"/>
              </w:rPr>
              <w:t>根据《排污许可证申请与核发技术规范 锅炉》（HJ953-2018）</w:t>
            </w:r>
            <w:r>
              <w:rPr>
                <w:rFonts w:hint="eastAsia"/>
                <w:color w:val="FF0000"/>
                <w:highlight w:val="none"/>
                <w:lang w:val="en-US" w:eastAsia="zh-CN"/>
              </w:rPr>
              <w:t>表3和</w:t>
            </w:r>
            <w:r>
              <w:rPr>
                <w:rFonts w:hint="default"/>
                <w:color w:val="FF0000"/>
                <w:highlight w:val="none"/>
                <w:lang w:val="en-US" w:eastAsia="zh-CN"/>
              </w:rPr>
              <w:t xml:space="preserve">《排污许可证申请与核发技术规范 </w:t>
            </w:r>
            <w:r>
              <w:rPr>
                <w:rFonts w:hint="eastAsia"/>
                <w:color w:val="FF0000"/>
                <w:highlight w:val="none"/>
                <w:lang w:val="en-US" w:eastAsia="zh-CN"/>
              </w:rPr>
              <w:t>工业炉窑</w:t>
            </w:r>
            <w:r>
              <w:rPr>
                <w:rFonts w:hint="default"/>
                <w:color w:val="FF0000"/>
                <w:highlight w:val="none"/>
                <w:lang w:val="en-US" w:eastAsia="zh-CN"/>
              </w:rPr>
              <w:t>》（HJ1121—2020）</w:t>
            </w:r>
            <w:r>
              <w:rPr>
                <w:rFonts w:hint="eastAsia"/>
                <w:color w:val="FF0000"/>
                <w:highlight w:val="none"/>
                <w:lang w:val="en-US" w:eastAsia="zh-CN"/>
              </w:rPr>
              <w:t>表3，所有干燥炉（窑）和燃生物质锅炉</w:t>
            </w:r>
            <w:r>
              <w:rPr>
                <w:rFonts w:hint="default"/>
                <w:color w:val="FF0000"/>
                <w:highlight w:val="none"/>
                <w:lang w:val="en-US" w:eastAsia="zh-CN"/>
              </w:rPr>
              <w:t>推荐采用袋式除尘技术</w:t>
            </w:r>
            <w:r>
              <w:rPr>
                <w:rFonts w:hint="eastAsia"/>
                <w:color w:val="FF0000"/>
                <w:highlight w:val="none"/>
                <w:lang w:val="en-US" w:eastAsia="zh-CN"/>
              </w:rPr>
              <w:t>，项目多味瓜子水煮烘干、原味瓜子炒制工序生物质燃料燃烧产生的燃烧废气经1台布袋除尘器处理后由</w:t>
            </w:r>
            <w:r>
              <w:rPr>
                <w:rFonts w:hint="default"/>
                <w:color w:val="FF0000"/>
                <w:highlight w:val="none"/>
                <w:lang w:val="en-US" w:eastAsia="zh-CN"/>
              </w:rPr>
              <w:t>1根15m高排气筒排放</w:t>
            </w:r>
            <w:r>
              <w:rPr>
                <w:rFonts w:hint="eastAsia"/>
                <w:color w:val="FF0000"/>
                <w:highlight w:val="none"/>
                <w:lang w:val="en-US" w:eastAsia="zh-CN"/>
              </w:rPr>
              <w:t>，</w:t>
            </w:r>
            <w:r>
              <w:rPr>
                <w:rFonts w:hint="default"/>
                <w:color w:val="FF0000"/>
                <w:highlight w:val="none"/>
                <w:lang w:val="en-US" w:eastAsia="zh-CN"/>
              </w:rPr>
              <w:t>除尘效率</w:t>
            </w:r>
            <w:r>
              <w:rPr>
                <w:rFonts w:hint="eastAsia"/>
                <w:color w:val="FF0000"/>
                <w:highlight w:val="none"/>
                <w:lang w:val="en-US" w:eastAsia="zh-CN"/>
              </w:rPr>
              <w:t>为</w:t>
            </w:r>
            <w:r>
              <w:rPr>
                <w:rFonts w:hint="default"/>
                <w:color w:val="FF0000"/>
                <w:highlight w:val="none"/>
                <w:lang w:val="en-US" w:eastAsia="zh-CN"/>
              </w:rPr>
              <w:t>99%，符合要求，因此本项目</w:t>
            </w:r>
            <w:r>
              <w:rPr>
                <w:rFonts w:hint="eastAsia"/>
                <w:color w:val="FF0000"/>
                <w:highlight w:val="none"/>
                <w:lang w:val="en-US" w:eastAsia="zh-CN"/>
              </w:rPr>
              <w:t>生物质燃料燃烧</w:t>
            </w:r>
            <w:r>
              <w:rPr>
                <w:rFonts w:hint="default"/>
                <w:color w:val="FF0000"/>
                <w:highlight w:val="none"/>
                <w:lang w:val="en-US" w:eastAsia="zh-CN"/>
              </w:rPr>
              <w:t>废气治理措施可行。</w:t>
            </w:r>
          </w:p>
          <w:p>
            <w:pPr>
              <w:pStyle w:val="6"/>
              <w:bidi w:val="0"/>
              <w:rPr>
                <w:rFonts w:hint="default" w:ascii="Times New Roman" w:hAnsi="Times New Roman" w:cs="Times New Roman"/>
                <w:lang w:val="en-US" w:eastAsia="zh-CN"/>
              </w:rPr>
            </w:pPr>
            <w:r>
              <w:rPr>
                <w:rFonts w:hint="eastAsia" w:ascii="Times New Roman" w:hAnsi="Times New Roman" w:cs="Times New Roman"/>
                <w:lang w:val="en-US" w:eastAsia="zh-CN"/>
              </w:rPr>
              <w:t>（3）</w:t>
            </w:r>
            <w:r>
              <w:rPr>
                <w:rFonts w:hint="default" w:ascii="Times New Roman" w:hAnsi="Times New Roman" w:cs="Times New Roman"/>
                <w:lang w:val="en-US" w:eastAsia="zh-CN"/>
              </w:rPr>
              <w:t>大气污染源监测计划</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根据《排污单位自行监测技术指南  总则》（HJ819-2017）要求，本项目</w:t>
            </w:r>
            <w:r>
              <w:rPr>
                <w:rFonts w:hint="default" w:ascii="Times New Roman" w:hAnsi="Times New Roman" w:eastAsia="宋体" w:cs="Times New Roman"/>
                <w:color w:val="auto"/>
                <w:sz w:val="24"/>
                <w:highlight w:val="none"/>
                <w:lang w:val="en-US" w:eastAsia="zh-CN"/>
              </w:rPr>
              <w:t>废气</w:t>
            </w:r>
            <w:r>
              <w:rPr>
                <w:rFonts w:hint="default" w:ascii="Times New Roman" w:hAnsi="Times New Roman" w:eastAsia="宋体" w:cs="Times New Roman"/>
                <w:color w:val="auto"/>
                <w:sz w:val="24"/>
                <w:highlight w:val="none"/>
              </w:rPr>
              <w:t>监测计划如下：</w:t>
            </w:r>
          </w:p>
          <w:p>
            <w:pPr>
              <w:pStyle w:val="38"/>
              <w:bidi w:val="0"/>
              <w:rPr>
                <w:rFonts w:hint="default"/>
                <w:sz w:val="24"/>
                <w:szCs w:val="24"/>
              </w:rPr>
            </w:pPr>
            <w:r>
              <w:rPr>
                <w:rFonts w:hint="default"/>
                <w:sz w:val="24"/>
                <w:szCs w:val="24"/>
              </w:rPr>
              <w:t>表</w:t>
            </w:r>
            <w:r>
              <w:rPr>
                <w:rFonts w:hint="default"/>
                <w:sz w:val="24"/>
                <w:szCs w:val="24"/>
                <w:lang w:val="en-US" w:eastAsia="zh-CN"/>
              </w:rPr>
              <w:t>4-3</w:t>
            </w:r>
            <w:r>
              <w:rPr>
                <w:rFonts w:hint="default"/>
                <w:sz w:val="24"/>
                <w:szCs w:val="24"/>
              </w:rPr>
              <w:t xml:space="preserve"> 环境监测工作内容一览表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48"/>
              <w:gridCol w:w="1573"/>
              <w:gridCol w:w="1748"/>
              <w:gridCol w:w="1530"/>
              <w:gridCol w:w="22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948" w:type="dxa"/>
                  <w:noWrap w:val="0"/>
                  <w:tcMar>
                    <w:left w:w="0" w:type="dxa"/>
                    <w:right w:w="0" w:type="dxa"/>
                  </w:tcMar>
                  <w:vAlign w:val="center"/>
                </w:tcPr>
                <w:p>
                  <w:pPr>
                    <w:pStyle w:val="39"/>
                    <w:bidi w:val="0"/>
                    <w:rPr>
                      <w:rFonts w:hint="default"/>
                      <w:b/>
                      <w:bCs/>
                      <w:highlight w:val="none"/>
                    </w:rPr>
                  </w:pPr>
                  <w:r>
                    <w:rPr>
                      <w:rFonts w:hint="default"/>
                      <w:b/>
                      <w:bCs/>
                      <w:highlight w:val="none"/>
                    </w:rPr>
                    <w:t>要素</w:t>
                  </w:r>
                </w:p>
              </w:tc>
              <w:tc>
                <w:tcPr>
                  <w:tcW w:w="1573" w:type="dxa"/>
                  <w:noWrap w:val="0"/>
                  <w:tcMar>
                    <w:left w:w="0" w:type="dxa"/>
                    <w:right w:w="0" w:type="dxa"/>
                  </w:tcMar>
                  <w:vAlign w:val="center"/>
                </w:tcPr>
                <w:p>
                  <w:pPr>
                    <w:pStyle w:val="39"/>
                    <w:bidi w:val="0"/>
                    <w:rPr>
                      <w:rFonts w:hint="default"/>
                      <w:b/>
                      <w:bCs/>
                      <w:highlight w:val="none"/>
                    </w:rPr>
                  </w:pPr>
                  <w:r>
                    <w:rPr>
                      <w:rFonts w:hint="default"/>
                      <w:b/>
                      <w:bCs/>
                      <w:highlight w:val="none"/>
                    </w:rPr>
                    <w:t>监测点位</w:t>
                  </w:r>
                </w:p>
              </w:tc>
              <w:tc>
                <w:tcPr>
                  <w:tcW w:w="1748" w:type="dxa"/>
                  <w:noWrap w:val="0"/>
                  <w:tcMar>
                    <w:left w:w="0" w:type="dxa"/>
                    <w:right w:w="0" w:type="dxa"/>
                  </w:tcMar>
                  <w:vAlign w:val="center"/>
                </w:tcPr>
                <w:p>
                  <w:pPr>
                    <w:pStyle w:val="39"/>
                    <w:bidi w:val="0"/>
                    <w:rPr>
                      <w:rFonts w:hint="default"/>
                      <w:b/>
                      <w:bCs/>
                    </w:rPr>
                  </w:pPr>
                  <w:r>
                    <w:rPr>
                      <w:rFonts w:hint="default"/>
                      <w:b/>
                      <w:bCs/>
                    </w:rPr>
                    <w:t>监测项目</w:t>
                  </w:r>
                </w:p>
              </w:tc>
              <w:tc>
                <w:tcPr>
                  <w:tcW w:w="1530" w:type="dxa"/>
                  <w:noWrap w:val="0"/>
                  <w:tcMar>
                    <w:left w:w="0" w:type="dxa"/>
                    <w:right w:w="0" w:type="dxa"/>
                  </w:tcMar>
                  <w:vAlign w:val="center"/>
                </w:tcPr>
                <w:p>
                  <w:pPr>
                    <w:pStyle w:val="39"/>
                    <w:bidi w:val="0"/>
                    <w:rPr>
                      <w:rFonts w:hint="default"/>
                      <w:b/>
                      <w:bCs/>
                    </w:rPr>
                  </w:pPr>
                  <w:r>
                    <w:rPr>
                      <w:rFonts w:hint="default"/>
                      <w:b/>
                      <w:bCs/>
                    </w:rPr>
                    <w:t>监测频次</w:t>
                  </w:r>
                </w:p>
              </w:tc>
              <w:tc>
                <w:tcPr>
                  <w:tcW w:w="2251" w:type="dxa"/>
                  <w:noWrap w:val="0"/>
                  <w:tcMar>
                    <w:left w:w="0" w:type="dxa"/>
                    <w:right w:w="0" w:type="dxa"/>
                  </w:tcMar>
                  <w:vAlign w:val="center"/>
                </w:tcPr>
                <w:p>
                  <w:pPr>
                    <w:pStyle w:val="39"/>
                    <w:bidi w:val="0"/>
                    <w:rPr>
                      <w:rFonts w:hint="default"/>
                      <w:b/>
                      <w:bCs/>
                    </w:rPr>
                  </w:pPr>
                  <w:r>
                    <w:rPr>
                      <w:rFonts w:hint="default"/>
                      <w:b/>
                      <w:b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948" w:type="dxa"/>
                  <w:vMerge w:val="restart"/>
                  <w:noWrap w:val="0"/>
                  <w:tcMar>
                    <w:left w:w="0" w:type="dxa"/>
                    <w:right w:w="0" w:type="dxa"/>
                  </w:tcMar>
                  <w:vAlign w:val="center"/>
                </w:tcPr>
                <w:p>
                  <w:pPr>
                    <w:pStyle w:val="39"/>
                    <w:bidi w:val="0"/>
                    <w:rPr>
                      <w:rFonts w:hint="default"/>
                      <w:color w:val="FF0000"/>
                      <w:highlight w:val="none"/>
                    </w:rPr>
                  </w:pPr>
                  <w:r>
                    <w:rPr>
                      <w:rFonts w:hint="default"/>
                      <w:color w:val="auto"/>
                      <w:highlight w:val="none"/>
                    </w:rPr>
                    <w:t>废气</w:t>
                  </w:r>
                </w:p>
              </w:tc>
              <w:tc>
                <w:tcPr>
                  <w:tcW w:w="1573" w:type="dxa"/>
                  <w:noWrap w:val="0"/>
                  <w:tcMar>
                    <w:left w:w="0" w:type="dxa"/>
                    <w:right w:w="0" w:type="dxa"/>
                  </w:tcMar>
                  <w:vAlign w:val="center"/>
                </w:tcPr>
                <w:p>
                  <w:pPr>
                    <w:pStyle w:val="39"/>
                    <w:bidi w:val="0"/>
                    <w:rPr>
                      <w:rFonts w:hint="default"/>
                      <w:color w:val="FF0000"/>
                      <w:highlight w:val="none"/>
                      <w:lang w:val="en-US" w:eastAsia="zh-CN"/>
                    </w:rPr>
                  </w:pPr>
                  <w:r>
                    <w:rPr>
                      <w:rFonts w:hint="default"/>
                      <w:color w:val="FF0000"/>
                      <w:highlight w:val="none"/>
                      <w:lang w:eastAsia="zh-CN"/>
                    </w:rPr>
                    <w:t>厂界上风向1个点位、下风向3个点位</w:t>
                  </w:r>
                  <w:r>
                    <w:rPr>
                      <w:rFonts w:hint="eastAsia"/>
                      <w:color w:val="FF0000"/>
                      <w:highlight w:val="none"/>
                      <w:lang w:eastAsia="zh-CN"/>
                    </w:rPr>
                    <w:t>；</w:t>
                  </w:r>
                  <w:r>
                    <w:rPr>
                      <w:rFonts w:hint="eastAsia"/>
                      <w:color w:val="FF0000"/>
                      <w:highlight w:val="none"/>
                      <w:lang w:val="en-US" w:eastAsia="zh-CN"/>
                    </w:rPr>
                    <w:t>西北侧居民房</w:t>
                  </w:r>
                </w:p>
              </w:tc>
              <w:tc>
                <w:tcPr>
                  <w:tcW w:w="1748" w:type="dxa"/>
                  <w:noWrap w:val="0"/>
                  <w:tcMar>
                    <w:left w:w="0" w:type="dxa"/>
                    <w:right w:w="0" w:type="dxa"/>
                  </w:tcMar>
                  <w:vAlign w:val="center"/>
                </w:tcPr>
                <w:p>
                  <w:pPr>
                    <w:pStyle w:val="39"/>
                    <w:bidi w:val="0"/>
                    <w:rPr>
                      <w:rFonts w:hint="default"/>
                      <w:lang w:eastAsia="zh-CN"/>
                    </w:rPr>
                  </w:pPr>
                  <w:r>
                    <w:rPr>
                      <w:rFonts w:hint="default"/>
                      <w:lang w:eastAsia="zh-CN"/>
                    </w:rPr>
                    <w:t>颗粒物</w:t>
                  </w:r>
                </w:p>
              </w:tc>
              <w:tc>
                <w:tcPr>
                  <w:tcW w:w="1530" w:type="dxa"/>
                  <w:noWrap w:val="0"/>
                  <w:tcMar>
                    <w:left w:w="0" w:type="dxa"/>
                    <w:right w:w="0" w:type="dxa"/>
                  </w:tcMar>
                  <w:vAlign w:val="center"/>
                </w:tcPr>
                <w:p>
                  <w:pPr>
                    <w:pStyle w:val="39"/>
                    <w:bidi w:val="0"/>
                    <w:rPr>
                      <w:rFonts w:hint="default"/>
                    </w:rPr>
                  </w:pPr>
                  <w:r>
                    <w:rPr>
                      <w:rFonts w:hint="default"/>
                    </w:rPr>
                    <w:t>每年1次</w:t>
                  </w:r>
                </w:p>
              </w:tc>
              <w:tc>
                <w:tcPr>
                  <w:tcW w:w="2251" w:type="dxa"/>
                  <w:vMerge w:val="restart"/>
                  <w:noWrap w:val="0"/>
                  <w:tcMar>
                    <w:left w:w="0" w:type="dxa"/>
                    <w:right w:w="0" w:type="dxa"/>
                  </w:tcMar>
                  <w:vAlign w:val="center"/>
                </w:tcPr>
                <w:p>
                  <w:pPr>
                    <w:pStyle w:val="39"/>
                    <w:bidi w:val="0"/>
                    <w:rPr>
                      <w:rFonts w:hint="default"/>
                    </w:rPr>
                  </w:pPr>
                  <w:r>
                    <w:rPr>
                      <w:rFonts w:hint="default"/>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948" w:type="dxa"/>
                  <w:vMerge w:val="continue"/>
                  <w:noWrap w:val="0"/>
                  <w:tcMar>
                    <w:left w:w="0" w:type="dxa"/>
                    <w:right w:w="0" w:type="dxa"/>
                  </w:tcMar>
                  <w:vAlign w:val="center"/>
                </w:tcPr>
                <w:p>
                  <w:pPr>
                    <w:pStyle w:val="39"/>
                    <w:bidi w:val="0"/>
                    <w:rPr>
                      <w:rFonts w:hint="default"/>
                      <w:highlight w:val="none"/>
                    </w:rPr>
                  </w:pPr>
                </w:p>
              </w:tc>
              <w:tc>
                <w:tcPr>
                  <w:tcW w:w="1573" w:type="dxa"/>
                  <w:noWrap w:val="0"/>
                  <w:tcMar>
                    <w:left w:w="0" w:type="dxa"/>
                    <w:right w:w="0" w:type="dxa"/>
                  </w:tcMar>
                  <w:vAlign w:val="center"/>
                </w:tcPr>
                <w:p>
                  <w:pPr>
                    <w:pStyle w:val="39"/>
                    <w:bidi w:val="0"/>
                    <w:rPr>
                      <w:rFonts w:hint="default"/>
                      <w:highlight w:val="none"/>
                      <w:lang w:val="en-US" w:eastAsia="zh-CN"/>
                    </w:rPr>
                  </w:pPr>
                  <w:r>
                    <w:rPr>
                      <w:rFonts w:hint="default"/>
                      <w:highlight w:val="none"/>
                      <w:lang w:val="en-US" w:eastAsia="zh-CN"/>
                    </w:rPr>
                    <w:t>生产车间排气筒</w:t>
                  </w:r>
                </w:p>
              </w:tc>
              <w:tc>
                <w:tcPr>
                  <w:tcW w:w="1748" w:type="dxa"/>
                  <w:noWrap w:val="0"/>
                  <w:tcMar>
                    <w:left w:w="0" w:type="dxa"/>
                    <w:right w:w="0" w:type="dxa"/>
                  </w:tcMar>
                  <w:vAlign w:val="center"/>
                </w:tcPr>
                <w:p>
                  <w:pPr>
                    <w:pStyle w:val="39"/>
                    <w:bidi w:val="0"/>
                    <w:rPr>
                      <w:rFonts w:hint="default"/>
                      <w:lang w:val="en-US" w:eastAsia="zh-CN"/>
                    </w:rPr>
                  </w:pPr>
                  <w:r>
                    <w:rPr>
                      <w:rFonts w:hint="default"/>
                      <w:lang w:eastAsia="zh-CN"/>
                    </w:rPr>
                    <w:t>颗粒物、二氧化硫</w:t>
                  </w:r>
                  <w:r>
                    <w:rPr>
                      <w:rFonts w:hint="eastAsia"/>
                      <w:lang w:eastAsia="zh-CN"/>
                    </w:rPr>
                    <w:t>、</w:t>
                  </w:r>
                  <w:r>
                    <w:rPr>
                      <w:rFonts w:hint="default"/>
                      <w:lang w:eastAsia="zh-CN"/>
                    </w:rPr>
                    <w:t>氮氧化物</w:t>
                  </w:r>
                </w:p>
              </w:tc>
              <w:tc>
                <w:tcPr>
                  <w:tcW w:w="1530" w:type="dxa"/>
                  <w:noWrap w:val="0"/>
                  <w:tcMar>
                    <w:left w:w="0" w:type="dxa"/>
                    <w:right w:w="0" w:type="dxa"/>
                  </w:tcMar>
                  <w:vAlign w:val="center"/>
                </w:tcPr>
                <w:p>
                  <w:pPr>
                    <w:pStyle w:val="39"/>
                    <w:bidi w:val="0"/>
                    <w:rPr>
                      <w:rFonts w:hint="default"/>
                      <w:lang w:val="en-US" w:eastAsia="zh-CN"/>
                    </w:rPr>
                  </w:pPr>
                  <w:r>
                    <w:rPr>
                      <w:rFonts w:hint="default"/>
                    </w:rPr>
                    <w:t>每</w:t>
                  </w:r>
                  <w:r>
                    <w:rPr>
                      <w:rFonts w:hint="default"/>
                      <w:lang w:val="en-US" w:eastAsia="zh-CN"/>
                    </w:rPr>
                    <w:t>年</w:t>
                  </w:r>
                  <w:r>
                    <w:rPr>
                      <w:rFonts w:hint="default"/>
                    </w:rPr>
                    <w:t>1次</w:t>
                  </w:r>
                </w:p>
              </w:tc>
              <w:tc>
                <w:tcPr>
                  <w:tcW w:w="2251" w:type="dxa"/>
                  <w:vMerge w:val="continue"/>
                  <w:noWrap w:val="0"/>
                  <w:tcMar>
                    <w:left w:w="0" w:type="dxa"/>
                    <w:right w:w="0" w:type="dxa"/>
                  </w:tcMar>
                  <w:vAlign w:val="center"/>
                </w:tcPr>
                <w:p>
                  <w:pPr>
                    <w:pStyle w:val="39"/>
                    <w:bidi w:val="0"/>
                    <w:rPr>
                      <w:rFonts w:hint="default"/>
                      <w:lang w:val="en-US" w:eastAsia="zh-CN"/>
                    </w:rPr>
                  </w:pP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（4）</w:t>
            </w:r>
            <w:r>
              <w:rPr>
                <w:rFonts w:hint="default" w:ascii="Times New Roman" w:hAnsi="Times New Roman" w:cs="Times New Roman"/>
                <w:lang w:val="en-US" w:eastAsia="zh-CN"/>
              </w:rPr>
              <w:t>废气排放环境影响分析</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根据分析可知，本项目各废气排放源均采取相应可行技术进行治理，</w:t>
            </w:r>
            <w:r>
              <w:rPr>
                <w:rFonts w:hint="default"/>
                <w:color w:val="auto"/>
                <w:lang w:val="en-US" w:eastAsia="zh-CN"/>
              </w:rPr>
              <w:t>运营期厂界废气排放浓度满足《大气污染物综合排放标准》（GB16297-1996）中表2新污染源大气污染物无组织排放限值；水煮、烘干</w:t>
            </w:r>
            <w:r>
              <w:rPr>
                <w:rFonts w:hint="eastAsia"/>
                <w:color w:val="auto"/>
                <w:lang w:val="en-US" w:eastAsia="zh-CN"/>
              </w:rPr>
              <w:t>、炒制</w:t>
            </w:r>
            <w:r>
              <w:rPr>
                <w:rFonts w:hint="default"/>
                <w:color w:val="auto"/>
                <w:lang w:val="en-US" w:eastAsia="zh-CN"/>
              </w:rPr>
              <w:t>工序生物质燃料燃烧排放的颗粒物、SO</w:t>
            </w:r>
            <w:r>
              <w:rPr>
                <w:rFonts w:hint="default"/>
                <w:color w:val="auto"/>
                <w:vertAlign w:val="subscript"/>
                <w:lang w:val="en-US" w:eastAsia="zh-CN"/>
              </w:rPr>
              <w:t>2</w:t>
            </w:r>
            <w:r>
              <w:rPr>
                <w:rFonts w:hint="eastAsia"/>
                <w:color w:val="auto"/>
                <w:vertAlign w:val="baseline"/>
                <w:lang w:val="en-US" w:eastAsia="zh-CN"/>
              </w:rPr>
              <w:t>、</w:t>
            </w:r>
            <w:r>
              <w:rPr>
                <w:rFonts w:hint="default"/>
                <w:color w:val="auto"/>
                <w:lang w:val="en-US" w:eastAsia="zh-CN"/>
              </w:rPr>
              <w:t>NOx符合《大气污染物综合</w:t>
            </w:r>
            <w:r>
              <w:rPr>
                <w:rFonts w:hint="default"/>
                <w:lang w:val="en-US" w:eastAsia="zh-CN"/>
              </w:rPr>
              <w:t>排放标准》（GB16297-1996）表2新污染源大气污染物排放浓度标准限值。综上，本项目运营期废气排放对大气环境影响</w:t>
            </w:r>
            <w:r>
              <w:rPr>
                <w:rFonts w:hint="default" w:ascii="Times New Roman" w:hAnsi="Times New Roman" w:cs="Times New Roman"/>
                <w:lang w:val="en-US" w:eastAsia="zh-CN"/>
              </w:rPr>
              <w:t>可接受。.</w:t>
            </w:r>
          </w:p>
          <w:p>
            <w:pPr>
              <w:textAlignment w:val="baseline"/>
              <w:rPr>
                <w:rFonts w:hint="default" w:ascii="Times New Roman" w:hAnsi="Times New Roman" w:cs="Times New Roman"/>
                <w:b/>
                <w:bCs/>
                <w:color w:val="auto"/>
                <w:sz w:val="24"/>
              </w:rPr>
            </w:pPr>
            <w:r>
              <w:rPr>
                <w:rFonts w:hint="default" w:ascii="Times New Roman" w:hAnsi="Times New Roman" w:cs="Times New Roman"/>
                <w:b/>
                <w:bCs/>
                <w:color w:val="auto"/>
                <w:sz w:val="24"/>
              </w:rPr>
              <w:t>2、废水</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（1）废水产排情况</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无生产废水产生。生活用水主要为职工日常生活、办公用水，厂区共有劳动定员20人，年工作时间为100天，根据内蒙古自治区《行业用水定额》（DB15/T385-2020）农村居民用水定额为60L/（人·天），则生活用水量为1.2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/d（120m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/a），生活污水产生量按用水量的80%计，则本项目职工生活污水产生量为0.96m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/d（96m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/a）。</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生活污水主要为职工日常盥洗废水，成分简单且产生量较小，</w:t>
            </w:r>
            <w:r>
              <w:rPr>
                <w:rFonts w:hint="default" w:ascii="Times New Roman" w:hAnsi="Times New Roman" w:cs="Times New Roman"/>
                <w:color w:val="FF0000"/>
                <w:highlight w:val="none"/>
                <w:lang w:val="en-US" w:eastAsia="zh-CN"/>
              </w:rPr>
              <w:t>经厂区防渗化粪池处理后排入市政污水管网</w:t>
            </w:r>
            <w:r>
              <w:rPr>
                <w:rFonts w:hint="eastAsia" w:ascii="Times New Roman" w:hAnsi="Times New Roman" w:cs="Times New Roman"/>
                <w:color w:val="FF0000"/>
                <w:highlight w:val="none"/>
                <w:lang w:val="en-US" w:eastAsia="zh-CN"/>
              </w:rPr>
              <w:t>，</w:t>
            </w:r>
            <w:r>
              <w:rPr>
                <w:rFonts w:hint="eastAsia" w:cs="Times New Roman"/>
                <w:color w:val="FF0000"/>
                <w:highlight w:val="none"/>
                <w:lang w:val="en-US" w:eastAsia="zh-CN"/>
              </w:rPr>
              <w:t>进银定图镇丰乐新村污水处理站进一步处理</w:t>
            </w:r>
            <w:r>
              <w:rPr>
                <w:rFonts w:hint="default" w:ascii="Times New Roman" w:hAnsi="Times New Roman" w:cs="Times New Roman"/>
                <w:color w:val="FF0000"/>
                <w:highlight w:val="none"/>
                <w:lang w:val="en-US" w:eastAsia="zh-CN"/>
              </w:rPr>
              <w:t>。</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本项目生活污水主要污染因子为COD、NH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-N、BOD、SS等，典型生活污水中COD浓度为200～400mg/L、BOD浓度为150～200mg/L、SS浓度为200～400mg/L。本评价按COD浓度为400mg/L、BOD浓度为200mg/L、SS浓度为300mg/L，NH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-N浓度为30mg/L计，满足《污水综合排放标准》三级标准（mg/L）要求。</w:t>
            </w:r>
          </w:p>
          <w:p>
            <w:pPr>
              <w:pStyle w:val="38"/>
              <w:bidi w:val="0"/>
              <w:rPr>
                <w:rFonts w:hint="default"/>
                <w:sz w:val="24"/>
                <w:szCs w:val="24"/>
                <w:lang w:val="en-US" w:eastAsia="zh-CN"/>
              </w:rPr>
            </w:pPr>
            <w:r>
              <w:rPr>
                <w:rFonts w:hint="default"/>
                <w:sz w:val="24"/>
                <w:szCs w:val="24"/>
                <w:lang w:val="en-US" w:eastAsia="zh-CN"/>
              </w:rPr>
              <w:t>表4-</w:t>
            </w:r>
            <w:r>
              <w:rPr>
                <w:rFonts w:hint="eastAsia"/>
                <w:sz w:val="24"/>
                <w:szCs w:val="24"/>
                <w:lang w:val="en-US" w:eastAsia="zh-CN"/>
              </w:rPr>
              <w:t>4</w:t>
            </w:r>
            <w:r>
              <w:rPr>
                <w:rFonts w:hint="default"/>
                <w:sz w:val="24"/>
                <w:szCs w:val="24"/>
                <w:lang w:val="en-US" w:eastAsia="zh-CN"/>
              </w:rPr>
              <w:t xml:space="preserve"> 生活污水污染物排放一览表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82"/>
              <w:gridCol w:w="1117"/>
              <w:gridCol w:w="1117"/>
              <w:gridCol w:w="1117"/>
              <w:gridCol w:w="11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24" w:type="pct"/>
                  <w:tcBorders>
                    <w:tl2br w:val="nil"/>
                    <w:tr2bl w:val="nil"/>
                  </w:tcBorders>
                  <w:noWrap w:val="0"/>
                  <w:vAlign w:val="center"/>
                </w:tcPr>
                <w:p>
                  <w:pPr>
                    <w:pStyle w:val="39"/>
                    <w:bidi w:val="0"/>
                    <w:rPr>
                      <w:rFonts w:hint="default" w:ascii="Times New Roman" w:hAnsi="Times New Roman" w:cs="Times New Roman"/>
                      <w:b/>
                      <w:bCs/>
                    </w:rPr>
                  </w:pPr>
                  <w:r>
                    <w:rPr>
                      <w:rFonts w:hint="default" w:ascii="Times New Roman" w:hAnsi="Times New Roman" w:cs="Times New Roman"/>
                      <w:b/>
                      <w:bCs/>
                    </w:rPr>
                    <w:t>污染物</w:t>
                  </w:r>
                </w:p>
              </w:tc>
              <w:tc>
                <w:tcPr>
                  <w:tcW w:w="693" w:type="pct"/>
                  <w:tcBorders>
                    <w:tl2br w:val="nil"/>
                    <w:tr2bl w:val="nil"/>
                  </w:tcBorders>
                  <w:noWrap w:val="0"/>
                  <w:vAlign w:val="center"/>
                </w:tcPr>
                <w:p>
                  <w:pPr>
                    <w:pStyle w:val="39"/>
                    <w:bidi w:val="0"/>
                    <w:rPr>
                      <w:rFonts w:hint="default" w:ascii="Times New Roman" w:hAnsi="Times New Roman" w:cs="Times New Roman"/>
                      <w:b/>
                      <w:bCs/>
                    </w:rPr>
                  </w:pPr>
                  <w:r>
                    <w:rPr>
                      <w:rFonts w:hint="default" w:ascii="Times New Roman" w:hAnsi="Times New Roman" w:cs="Times New Roman"/>
                      <w:b/>
                      <w:bCs/>
                    </w:rPr>
                    <w:t>COD</w:t>
                  </w:r>
                </w:p>
              </w:tc>
              <w:tc>
                <w:tcPr>
                  <w:tcW w:w="693" w:type="pct"/>
                  <w:tcBorders>
                    <w:tl2br w:val="nil"/>
                    <w:tr2bl w:val="nil"/>
                  </w:tcBorders>
                  <w:noWrap w:val="0"/>
                  <w:vAlign w:val="center"/>
                </w:tcPr>
                <w:p>
                  <w:pPr>
                    <w:pStyle w:val="39"/>
                    <w:bidi w:val="0"/>
                    <w:rPr>
                      <w:rFonts w:hint="default" w:ascii="Times New Roman" w:hAnsi="Times New Roman" w:cs="Times New Roman"/>
                      <w:b/>
                      <w:bCs/>
                    </w:rPr>
                  </w:pPr>
                  <w:r>
                    <w:rPr>
                      <w:rFonts w:hint="default" w:ascii="Times New Roman" w:hAnsi="Times New Roman" w:cs="Times New Roman"/>
                      <w:b/>
                      <w:bCs/>
                    </w:rPr>
                    <w:t>BOD</w:t>
                  </w:r>
                  <w:r>
                    <w:rPr>
                      <w:rFonts w:hint="default" w:ascii="Times New Roman" w:hAnsi="Times New Roman" w:cs="Times New Roman"/>
                      <w:b/>
                      <w:bCs/>
                      <w:vertAlign w:val="subscript"/>
                    </w:rPr>
                    <w:t>5</w:t>
                  </w:r>
                </w:p>
              </w:tc>
              <w:tc>
                <w:tcPr>
                  <w:tcW w:w="693" w:type="pct"/>
                  <w:tcBorders>
                    <w:tl2br w:val="nil"/>
                    <w:tr2bl w:val="nil"/>
                  </w:tcBorders>
                  <w:noWrap w:val="0"/>
                  <w:vAlign w:val="center"/>
                </w:tcPr>
                <w:p>
                  <w:pPr>
                    <w:pStyle w:val="39"/>
                    <w:bidi w:val="0"/>
                    <w:rPr>
                      <w:rFonts w:hint="default" w:ascii="Times New Roman" w:hAnsi="Times New Roman" w:cs="Times New Roman"/>
                      <w:b/>
                      <w:bCs/>
                    </w:rPr>
                  </w:pPr>
                  <w:r>
                    <w:rPr>
                      <w:rFonts w:hint="default" w:ascii="Times New Roman" w:hAnsi="Times New Roman" w:cs="Times New Roman"/>
                      <w:b/>
                      <w:bCs/>
                    </w:rPr>
                    <w:t>SS</w:t>
                  </w:r>
                </w:p>
              </w:tc>
              <w:tc>
                <w:tcPr>
                  <w:tcW w:w="693" w:type="pct"/>
                  <w:tcBorders>
                    <w:tl2br w:val="nil"/>
                    <w:tr2bl w:val="nil"/>
                  </w:tcBorders>
                  <w:noWrap w:val="0"/>
                  <w:vAlign w:val="center"/>
                </w:tcPr>
                <w:p>
                  <w:pPr>
                    <w:pStyle w:val="39"/>
                    <w:bidi w:val="0"/>
                    <w:rPr>
                      <w:rFonts w:hint="default" w:ascii="Times New Roman" w:hAnsi="Times New Roman" w:cs="Times New Roman"/>
                      <w:b/>
                      <w:bCs/>
                    </w:rPr>
                  </w:pPr>
                  <w:r>
                    <w:rPr>
                      <w:rFonts w:hint="default" w:ascii="Times New Roman" w:hAnsi="Times New Roman" w:cs="Times New Roman"/>
                      <w:b/>
                      <w:bCs/>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exact"/>
                <w:jc w:val="center"/>
              </w:trPr>
              <w:tc>
                <w:tcPr>
                  <w:tcW w:w="2224"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污染物排放浓度（mg/L）</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400</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200</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300</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24"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污染物排放量（t/a）</w:t>
                  </w:r>
                </w:p>
              </w:tc>
              <w:tc>
                <w:tcPr>
                  <w:tcW w:w="693"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0.0384</w:t>
                  </w:r>
                </w:p>
              </w:tc>
              <w:tc>
                <w:tcPr>
                  <w:tcW w:w="693"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0.0192</w:t>
                  </w:r>
                </w:p>
              </w:tc>
              <w:tc>
                <w:tcPr>
                  <w:tcW w:w="693"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0.0288</w:t>
                  </w:r>
                </w:p>
              </w:tc>
              <w:tc>
                <w:tcPr>
                  <w:tcW w:w="693"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0.0029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2224"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《污水综合排放标准》三级标准（mg/L）</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500</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300</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400</w:t>
                  </w:r>
                </w:p>
              </w:tc>
              <w:tc>
                <w:tcPr>
                  <w:tcW w:w="693" w:type="pct"/>
                  <w:tcBorders>
                    <w:tl2br w:val="nil"/>
                    <w:tr2bl w:val="nil"/>
                  </w:tcBorders>
                  <w:noWrap w:val="0"/>
                  <w:vAlign w:val="center"/>
                </w:tcPr>
                <w:p>
                  <w:pPr>
                    <w:pStyle w:val="39"/>
                    <w:bidi w:val="0"/>
                    <w:rPr>
                      <w:rFonts w:hint="default" w:ascii="Times New Roman" w:hAnsi="Times New Roman" w:cs="Times New Roman"/>
                    </w:rPr>
                  </w:pPr>
                  <w:r>
                    <w:rPr>
                      <w:rFonts w:hint="default" w:ascii="Times New Roman" w:hAnsi="Times New Roman" w:cs="Times New Roman"/>
                    </w:rPr>
                    <w:t>/</w:t>
                  </w:r>
                </w:p>
              </w:tc>
            </w:tr>
          </w:tbl>
          <w:p>
            <w:pPr>
              <w:keepNext w:val="0"/>
              <w:keepLines w:val="0"/>
              <w:pageBreakBefore w:val="0"/>
              <w:widowControl w:val="0"/>
              <w:kinsoku/>
              <w:wordWrap/>
              <w:overflowPunct/>
              <w:topLinePunct w:val="0"/>
              <w:autoSpaceDE/>
              <w:autoSpaceDN/>
              <w:bidi w:val="0"/>
              <w:adjustRightInd w:val="0"/>
              <w:snapToGrid w:val="0"/>
              <w:spacing w:line="490" w:lineRule="exact"/>
              <w:ind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本项目废水产排污环节、污染物产生及排放情况、污染治理设施见表4-5。</w:t>
            </w:r>
          </w:p>
          <w:p>
            <w:pPr>
              <w:pStyle w:val="38"/>
              <w:bidi w:val="0"/>
              <w:rPr>
                <w:rFonts w:hint="default" w:ascii="Times New Roman" w:hAnsi="Times New Roman" w:eastAsia="宋体" w:cs="Times New Roman"/>
                <w:b/>
                <w:bCs/>
                <w:color w:val="000000"/>
                <w:sz w:val="24"/>
                <w:szCs w:val="24"/>
                <w:lang w:val="en-US" w:eastAsia="zh-CN"/>
              </w:rPr>
            </w:pPr>
            <w:r>
              <w:rPr>
                <w:rFonts w:hint="default"/>
                <w:sz w:val="24"/>
                <w:szCs w:val="24"/>
                <w:lang w:val="en-US" w:eastAsia="zh-CN"/>
              </w:rPr>
              <w:t>表4</w:t>
            </w:r>
            <w:r>
              <w:rPr>
                <w:rFonts w:hint="eastAsia"/>
                <w:sz w:val="24"/>
                <w:szCs w:val="24"/>
                <w:lang w:val="en-US" w:eastAsia="zh-CN"/>
              </w:rPr>
              <w:t>-5</w:t>
            </w:r>
            <w:r>
              <w:rPr>
                <w:rFonts w:hint="default"/>
                <w:sz w:val="24"/>
                <w:szCs w:val="24"/>
                <w:lang w:val="en-US" w:eastAsia="zh-CN"/>
              </w:rPr>
              <w:t xml:space="preserve"> 废水产排污环节、污染物及污染治理设施一览表</w:t>
            </w:r>
          </w:p>
          <w:tbl>
            <w:tblPr>
              <w:tblStyle w:val="23"/>
              <w:tblW w:w="805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59"/>
              <w:gridCol w:w="960"/>
              <w:gridCol w:w="960"/>
              <w:gridCol w:w="960"/>
              <w:gridCol w:w="960"/>
              <w:gridCol w:w="962"/>
              <w:gridCol w:w="228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0" w:hRule="exact"/>
                <w:jc w:val="center"/>
              </w:trPr>
              <w:tc>
                <w:tcPr>
                  <w:tcW w:w="596"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产污环节</w:t>
                  </w:r>
                </w:p>
              </w:tc>
              <w:tc>
                <w:tcPr>
                  <w:tcW w:w="596"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污染源名称</w:t>
                  </w:r>
                </w:p>
              </w:tc>
              <w:tc>
                <w:tcPr>
                  <w:tcW w:w="596"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废水量（m</w:t>
                  </w:r>
                  <w:r>
                    <w:rPr>
                      <w:rFonts w:hint="default" w:ascii="Times New Roman" w:hAnsi="Times New Roman" w:eastAsia="宋体" w:cs="Times New Roman"/>
                      <w:b/>
                      <w:bCs/>
                      <w:vertAlign w:val="superscript"/>
                      <w:lang w:val="en-US" w:eastAsia="zh-CN"/>
                    </w:rPr>
                    <w:t>3</w:t>
                  </w:r>
                  <w:r>
                    <w:rPr>
                      <w:rFonts w:hint="default" w:ascii="Times New Roman" w:hAnsi="Times New Roman" w:eastAsia="宋体" w:cs="Times New Roman"/>
                      <w:b/>
                      <w:bCs/>
                      <w:lang w:val="en-US" w:eastAsia="zh-CN"/>
                    </w:rPr>
                    <w:t>/a）</w:t>
                  </w:r>
                </w:p>
              </w:tc>
              <w:tc>
                <w:tcPr>
                  <w:tcW w:w="596"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主要污染物</w:t>
                  </w:r>
                </w:p>
              </w:tc>
              <w:tc>
                <w:tcPr>
                  <w:tcW w:w="596"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rPr>
                    <w:t>排放方式</w:t>
                  </w:r>
                </w:p>
              </w:tc>
              <w:tc>
                <w:tcPr>
                  <w:tcW w:w="597"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rPr>
                    <w:t>排放</w:t>
                  </w:r>
                  <w:r>
                    <w:rPr>
                      <w:rFonts w:hint="default" w:ascii="Times New Roman" w:hAnsi="Times New Roman" w:eastAsia="宋体" w:cs="Times New Roman"/>
                      <w:b/>
                      <w:bCs/>
                      <w:lang w:val="en-US" w:eastAsia="zh-CN"/>
                    </w:rPr>
                    <w:t>规律</w:t>
                  </w:r>
                </w:p>
              </w:tc>
              <w:tc>
                <w:tcPr>
                  <w:tcW w:w="1421" w:type="pct"/>
                  <w:tcBorders>
                    <w:tl2br w:val="nil"/>
                    <w:tr2bl w:val="nil"/>
                  </w:tcBorders>
                  <w:noWrap w:val="0"/>
                  <w:vAlign w:val="center"/>
                </w:tcPr>
                <w:p>
                  <w:pPr>
                    <w:pStyle w:val="39"/>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处理措施及排放去向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91" w:hRule="exact"/>
                <w:jc w:val="center"/>
              </w:trPr>
              <w:tc>
                <w:tcPr>
                  <w:tcW w:w="596"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日常生活</w:t>
                  </w:r>
                </w:p>
              </w:tc>
              <w:tc>
                <w:tcPr>
                  <w:tcW w:w="596"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生活污水</w:t>
                  </w:r>
                </w:p>
              </w:tc>
              <w:tc>
                <w:tcPr>
                  <w:tcW w:w="596"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96</w:t>
                  </w:r>
                </w:p>
              </w:tc>
              <w:tc>
                <w:tcPr>
                  <w:tcW w:w="596" w:type="pct"/>
                  <w:tcBorders>
                    <w:tl2br w:val="nil"/>
                    <w:tr2bl w:val="nil"/>
                  </w:tcBorders>
                  <w:noWrap w:val="0"/>
                  <w:vAlign w:val="center"/>
                </w:tcPr>
                <w:p>
                  <w:pPr>
                    <w:pStyle w:val="39"/>
                    <w:bidi w:val="0"/>
                    <w:rPr>
                      <w:rFonts w:hint="default" w:ascii="Times New Roman" w:hAnsi="Times New Roman" w:eastAsia="宋体" w:cs="Times New Roman"/>
                    </w:rPr>
                  </w:pPr>
                  <w:r>
                    <w:rPr>
                      <w:rFonts w:hint="default" w:ascii="Times New Roman" w:hAnsi="Times New Roman" w:eastAsia="宋体" w:cs="Times New Roman"/>
                    </w:rPr>
                    <w:t>COD</w:t>
                  </w:r>
                </w:p>
                <w:p>
                  <w:pPr>
                    <w:pStyle w:val="39"/>
                    <w:bidi w:val="0"/>
                    <w:rPr>
                      <w:rFonts w:hint="default" w:ascii="Times New Roman" w:hAnsi="Times New Roman" w:eastAsia="宋体" w:cs="Times New Roman"/>
                    </w:rPr>
                  </w:pPr>
                  <w:r>
                    <w:rPr>
                      <w:rFonts w:hint="default" w:ascii="Times New Roman" w:hAnsi="Times New Roman" w:eastAsia="宋体" w:cs="Times New Roman"/>
                    </w:rPr>
                    <w:t>BOD</w:t>
                  </w:r>
                  <w:r>
                    <w:rPr>
                      <w:rFonts w:hint="default" w:ascii="Times New Roman" w:hAnsi="Times New Roman" w:eastAsia="宋体" w:cs="Times New Roman"/>
                      <w:vertAlign w:val="subscript"/>
                    </w:rPr>
                    <w:t>5</w:t>
                  </w:r>
                </w:p>
                <w:p>
                  <w:pPr>
                    <w:pStyle w:val="39"/>
                    <w:bidi w:val="0"/>
                    <w:rPr>
                      <w:rFonts w:hint="default" w:ascii="Times New Roman" w:hAnsi="Times New Roman" w:eastAsia="宋体" w:cs="Times New Roman"/>
                      <w:lang w:eastAsia="zh-CN"/>
                    </w:rPr>
                  </w:pPr>
                  <w:r>
                    <w:rPr>
                      <w:rFonts w:hint="default" w:ascii="Times New Roman" w:hAnsi="Times New Roman" w:eastAsia="宋体" w:cs="Times New Roman"/>
                    </w:rPr>
                    <w:t>SS</w:t>
                  </w:r>
                </w:p>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rPr>
                    <w:t>氨氮</w:t>
                  </w:r>
                </w:p>
              </w:tc>
              <w:tc>
                <w:tcPr>
                  <w:tcW w:w="596"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间接排放</w:t>
                  </w:r>
                </w:p>
              </w:tc>
              <w:tc>
                <w:tcPr>
                  <w:tcW w:w="597"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间断</w:t>
                  </w:r>
                </w:p>
              </w:tc>
              <w:tc>
                <w:tcPr>
                  <w:tcW w:w="1421" w:type="pct"/>
                  <w:tcBorders>
                    <w:tl2br w:val="nil"/>
                    <w:tr2bl w:val="nil"/>
                  </w:tcBorders>
                  <w:noWrap w:val="0"/>
                  <w:vAlign w:val="center"/>
                </w:tcPr>
                <w:p>
                  <w:pPr>
                    <w:pStyle w:val="39"/>
                    <w:bidi w:val="0"/>
                    <w:rPr>
                      <w:rFonts w:hint="default" w:ascii="Times New Roman" w:hAnsi="Times New Roman" w:eastAsia="宋体" w:cs="Times New Roman"/>
                      <w:lang w:val="en-US" w:eastAsia="zh-CN"/>
                    </w:rPr>
                  </w:pPr>
                  <w:r>
                    <w:rPr>
                      <w:rFonts w:hint="default" w:ascii="Times New Roman" w:hAnsi="Times New Roman" w:eastAsia="宋体" w:cs="Times New Roman"/>
                      <w:color w:val="FF0000"/>
                      <w:highlight w:val="none"/>
                      <w:lang w:val="en-US" w:eastAsia="zh-CN"/>
                    </w:rPr>
                    <w:t>生活污水经厂区化粪池处理后排入市政污水管网</w:t>
                  </w:r>
                  <w:r>
                    <w:rPr>
                      <w:rFonts w:hint="eastAsia" w:cs="Times New Roman"/>
                      <w:color w:val="FF0000"/>
                      <w:highlight w:val="none"/>
                      <w:lang w:val="en-US" w:eastAsia="zh-CN"/>
                    </w:rPr>
                    <w:t>，进银定图镇丰乐新村污水处理站进一步处理</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firstLine="420"/>
              <w:textAlignment w:val="auto"/>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（2）</w:t>
            </w:r>
            <w:r>
              <w:rPr>
                <w:rFonts w:hint="eastAsia" w:ascii="Times New Roman" w:hAnsi="Times New Roman" w:cs="Times New Roman"/>
                <w:color w:val="FF0000"/>
                <w:highlight w:val="none"/>
                <w:lang w:val="en-US" w:eastAsia="zh-CN"/>
              </w:rPr>
              <w:t>污水处理厂依托可行性</w:t>
            </w:r>
          </w:p>
          <w:p>
            <w:pPr>
              <w:pStyle w:val="6"/>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FF0000"/>
                <w:highlight w:val="yellow"/>
                <w:lang w:val="en-US" w:eastAsia="zh-CN"/>
              </w:rPr>
              <w:t>银定图镇丰乐新村污水处理站</w:t>
            </w:r>
            <w:r>
              <w:rPr>
                <w:rFonts w:hint="eastAsia" w:ascii="Times New Roman" w:hAnsi="Times New Roman" w:cs="Times New Roman"/>
                <w:color w:val="FF0000"/>
                <w:highlight w:val="none"/>
                <w:lang w:val="en-US" w:eastAsia="zh-CN"/>
              </w:rPr>
              <w:t>处理工艺为多功能复合滤池，</w:t>
            </w:r>
            <w:r>
              <w:rPr>
                <w:rFonts w:hint="eastAsia" w:ascii="Times New Roman" w:hAnsi="Times New Roman" w:eastAsia="宋体" w:cs="Times New Roman"/>
                <w:color w:val="FF0000"/>
                <w:highlight w:val="none"/>
                <w:lang w:val="en-US" w:eastAsia="zh-CN"/>
              </w:rPr>
              <w:t>处理规模为30t/d，目前运行负荷为40%。</w:t>
            </w:r>
            <w:r>
              <w:rPr>
                <w:rFonts w:hint="default" w:ascii="Times New Roman" w:hAnsi="Times New Roman" w:eastAsia="宋体" w:cs="Times New Roman"/>
                <w:color w:val="FF0000"/>
                <w:highlight w:val="none"/>
                <w:lang w:val="en-US" w:eastAsia="zh-CN"/>
              </w:rPr>
              <w:t>本项目</w:t>
            </w:r>
            <w:r>
              <w:rPr>
                <w:rFonts w:hint="eastAsia" w:ascii="Times New Roman" w:hAnsi="Times New Roman" w:cs="Times New Roman"/>
                <w:color w:val="FF0000"/>
                <w:highlight w:val="none"/>
                <w:lang w:val="en-US" w:eastAsia="zh-CN"/>
              </w:rPr>
              <w:t>项目地位于银定图镇丰乐新村污水处理站</w:t>
            </w:r>
            <w:r>
              <w:rPr>
                <w:rFonts w:hint="default" w:ascii="Times New Roman" w:hAnsi="Times New Roman" w:eastAsia="宋体" w:cs="Times New Roman"/>
                <w:color w:val="FF0000"/>
                <w:highlight w:val="none"/>
                <w:lang w:val="en-US" w:eastAsia="zh-CN"/>
              </w:rPr>
              <w:t>收水范围</w:t>
            </w:r>
            <w:r>
              <w:rPr>
                <w:rFonts w:hint="eastAsia" w:ascii="Times New Roman" w:hAnsi="Times New Roman" w:eastAsia="宋体" w:cs="Times New Roman"/>
                <w:color w:val="FF0000"/>
                <w:highlight w:val="none"/>
                <w:lang w:val="en-US" w:eastAsia="zh-CN"/>
              </w:rPr>
              <w:t>内，</w:t>
            </w:r>
            <w:r>
              <w:rPr>
                <w:rFonts w:hint="eastAsia" w:ascii="Times New Roman" w:hAnsi="Times New Roman" w:cs="Times New Roman"/>
                <w:color w:val="FF0000"/>
                <w:highlight w:val="none"/>
                <w:lang w:val="en-US" w:eastAsia="zh-CN"/>
              </w:rPr>
              <w:t>生活污水经厂区防渗化粪池处理后排入市政污水管网，进银定图镇丰乐新村污水处理站进一步处理。项目生活污水水质满足《污水综合排放标准》三级标准（mg/L）要求，</w:t>
            </w:r>
            <w:r>
              <w:rPr>
                <w:rFonts w:hint="default" w:ascii="Times New Roman" w:hAnsi="Times New Roman" w:eastAsia="宋体" w:cs="Times New Roman"/>
                <w:color w:val="FF0000"/>
                <w:highlight w:val="none"/>
                <w:lang w:val="en-US" w:eastAsia="zh-CN"/>
              </w:rPr>
              <w:t>排水量为</w:t>
            </w:r>
            <w:r>
              <w:rPr>
                <w:rFonts w:hint="eastAsia" w:ascii="Times New Roman" w:hAnsi="Times New Roman" w:cs="Times New Roman"/>
                <w:color w:val="FF0000"/>
                <w:highlight w:val="none"/>
                <w:lang w:val="en-US" w:eastAsia="zh-CN"/>
              </w:rPr>
              <w:t>0.96</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3</w:t>
            </w:r>
            <w:r>
              <w:rPr>
                <w:rFonts w:hint="default" w:ascii="Times New Roman" w:hAnsi="Times New Roman" w:eastAsia="宋体" w:cs="Times New Roman"/>
                <w:color w:val="FF0000"/>
                <w:highlight w:val="none"/>
                <w:lang w:val="en-US" w:eastAsia="zh-CN"/>
              </w:rPr>
              <w:t>/d，只占</w:t>
            </w:r>
            <w:r>
              <w:rPr>
                <w:rFonts w:hint="eastAsia" w:ascii="Times New Roman" w:hAnsi="Times New Roman" w:cs="Times New Roman"/>
                <w:color w:val="FF0000"/>
                <w:highlight w:val="none"/>
                <w:lang w:val="en-US" w:eastAsia="zh-CN"/>
              </w:rPr>
              <w:t>银定图镇丰乐新村污水处理站</w:t>
            </w:r>
            <w:r>
              <w:rPr>
                <w:rFonts w:hint="default" w:ascii="Times New Roman" w:hAnsi="Times New Roman" w:eastAsia="宋体" w:cs="Times New Roman"/>
                <w:color w:val="FF0000"/>
                <w:highlight w:val="none"/>
                <w:lang w:val="en-US" w:eastAsia="zh-CN"/>
              </w:rPr>
              <w:t>处理能力的</w:t>
            </w:r>
            <w:r>
              <w:rPr>
                <w:rFonts w:hint="eastAsia" w:ascii="Times New Roman" w:hAnsi="Times New Roman" w:cs="Times New Roman"/>
                <w:color w:val="FF0000"/>
                <w:highlight w:val="none"/>
                <w:lang w:val="en-US" w:eastAsia="zh-CN"/>
              </w:rPr>
              <w:t>3.2</w:t>
            </w:r>
            <w:r>
              <w:rPr>
                <w:rFonts w:hint="default" w:ascii="Times New Roman" w:hAnsi="Times New Roman" w:eastAsia="宋体" w:cs="Times New Roman"/>
                <w:color w:val="FF0000"/>
                <w:highlight w:val="none"/>
                <w:lang w:val="en-US" w:eastAsia="zh-CN"/>
              </w:rPr>
              <w:t>%，</w:t>
            </w:r>
            <w:r>
              <w:rPr>
                <w:rFonts w:hint="eastAsia" w:ascii="Times New Roman" w:hAnsi="Times New Roman" w:cs="Times New Roman"/>
                <w:color w:val="FF0000"/>
                <w:highlight w:val="none"/>
                <w:lang w:val="en-US" w:eastAsia="zh-CN"/>
              </w:rPr>
              <w:t>不会超过</w:t>
            </w:r>
            <w:r>
              <w:rPr>
                <w:rFonts w:hint="default" w:ascii="Times New Roman" w:hAnsi="Times New Roman" w:eastAsia="宋体" w:cs="Times New Roman"/>
                <w:color w:val="FF0000"/>
                <w:highlight w:val="none"/>
                <w:lang w:val="en-US" w:eastAsia="zh-CN"/>
              </w:rPr>
              <w:t>污水处理厂</w:t>
            </w:r>
            <w:r>
              <w:rPr>
                <w:rFonts w:hint="eastAsia" w:ascii="Times New Roman" w:hAnsi="Times New Roman" w:eastAsia="宋体" w:cs="Times New Roman"/>
                <w:color w:val="FF0000"/>
                <w:highlight w:val="none"/>
                <w:lang w:val="en-US" w:eastAsia="zh-CN"/>
              </w:rPr>
              <w:t>剩余处理能力，</w:t>
            </w:r>
            <w:r>
              <w:rPr>
                <w:rFonts w:hint="default" w:ascii="Times New Roman" w:hAnsi="Times New Roman" w:eastAsia="宋体" w:cs="Times New Roman"/>
                <w:color w:val="FF0000"/>
                <w:highlight w:val="none"/>
                <w:lang w:val="en-US" w:eastAsia="zh-CN"/>
              </w:rPr>
              <w:t>且项目建成至今，</w:t>
            </w:r>
            <w:r>
              <w:rPr>
                <w:rFonts w:hint="eastAsia" w:ascii="Times New Roman" w:hAnsi="Times New Roman" w:cs="Times New Roman"/>
                <w:color w:val="FF0000"/>
                <w:highlight w:val="none"/>
                <w:lang w:val="en-US" w:eastAsia="zh-CN"/>
              </w:rPr>
              <w:t>银定图镇丰乐新村污水处理站</w:t>
            </w:r>
            <w:r>
              <w:rPr>
                <w:rFonts w:hint="default" w:ascii="Times New Roman" w:hAnsi="Times New Roman" w:eastAsia="宋体" w:cs="Times New Roman"/>
                <w:color w:val="FF0000"/>
                <w:highlight w:val="none"/>
                <w:lang w:val="en-US" w:eastAsia="zh-CN"/>
              </w:rPr>
              <w:t>运行正常，因此本项目</w:t>
            </w:r>
            <w:r>
              <w:rPr>
                <w:rFonts w:hint="eastAsia" w:ascii="Times New Roman" w:hAnsi="Times New Roman" w:cs="Times New Roman"/>
                <w:color w:val="FF0000"/>
                <w:highlight w:val="none"/>
                <w:lang w:val="en-US" w:eastAsia="zh-CN"/>
              </w:rPr>
              <w:t>排放生活污水</w:t>
            </w:r>
            <w:r>
              <w:rPr>
                <w:rFonts w:hint="default" w:ascii="Times New Roman" w:hAnsi="Times New Roman" w:eastAsia="宋体" w:cs="Times New Roman"/>
                <w:color w:val="FF0000"/>
                <w:highlight w:val="none"/>
                <w:lang w:val="en-US" w:eastAsia="zh-CN"/>
              </w:rPr>
              <w:t>不会对污水</w:t>
            </w:r>
            <w:r>
              <w:rPr>
                <w:rFonts w:hint="eastAsia" w:ascii="Times New Roman" w:hAnsi="Times New Roman" w:cs="Times New Roman"/>
                <w:color w:val="FF0000"/>
                <w:highlight w:val="none"/>
                <w:lang w:val="en-US" w:eastAsia="zh-CN"/>
              </w:rPr>
              <w:t>处理</w:t>
            </w:r>
            <w:r>
              <w:rPr>
                <w:rFonts w:hint="default" w:ascii="Times New Roman" w:hAnsi="Times New Roman" w:eastAsia="宋体" w:cs="Times New Roman"/>
                <w:color w:val="FF0000"/>
                <w:highlight w:val="none"/>
                <w:lang w:val="en-US" w:eastAsia="zh-CN"/>
              </w:rPr>
              <w:t>厂稳定运行造成冲击</w:t>
            </w:r>
            <w:r>
              <w:rPr>
                <w:rFonts w:hint="eastAsia" w:ascii="Times New Roman" w:hAnsi="Times New Roman"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因此，</w:t>
            </w:r>
            <w:r>
              <w:rPr>
                <w:rFonts w:hint="eastAsia" w:ascii="Times New Roman" w:hAnsi="Times New Roman" w:cs="Times New Roman"/>
                <w:color w:val="FF0000"/>
                <w:highlight w:val="none"/>
                <w:lang w:val="en-US" w:eastAsia="zh-CN"/>
              </w:rPr>
              <w:t>项目生活污水</w:t>
            </w:r>
            <w:r>
              <w:rPr>
                <w:rFonts w:hint="default" w:ascii="Times New Roman" w:hAnsi="Times New Roman" w:eastAsia="宋体" w:cs="Times New Roman"/>
                <w:color w:val="FF0000"/>
                <w:highlight w:val="none"/>
                <w:lang w:val="en-US" w:eastAsia="zh-CN"/>
              </w:rPr>
              <w:t>排入</w:t>
            </w:r>
            <w:r>
              <w:rPr>
                <w:rFonts w:hint="eastAsia" w:ascii="Times New Roman" w:hAnsi="Times New Roman" w:cs="Times New Roman"/>
                <w:color w:val="FF0000"/>
                <w:highlight w:val="none"/>
                <w:lang w:val="en-US" w:eastAsia="zh-CN"/>
              </w:rPr>
              <w:t>银定图镇丰乐新村污水处理站</w:t>
            </w:r>
            <w:r>
              <w:rPr>
                <w:rFonts w:hint="default" w:ascii="Times New Roman" w:hAnsi="Times New Roman" w:eastAsia="宋体" w:cs="Times New Roman"/>
                <w:color w:val="FF0000"/>
                <w:highlight w:val="none"/>
                <w:lang w:val="en-US" w:eastAsia="zh-CN"/>
              </w:rPr>
              <w:t>可行，对周围水环境影响</w:t>
            </w:r>
            <w:r>
              <w:rPr>
                <w:rFonts w:hint="eastAsia" w:ascii="Times New Roman" w:hAnsi="Times New Roman" w:cs="Times New Roman"/>
                <w:color w:val="FF0000"/>
                <w:highlight w:val="none"/>
                <w:lang w:val="en-US" w:eastAsia="zh-CN"/>
              </w:rPr>
              <w:t>较</w:t>
            </w:r>
            <w:r>
              <w:rPr>
                <w:rFonts w:hint="default" w:ascii="Times New Roman" w:hAnsi="Times New Roman" w:eastAsia="宋体" w:cs="Times New Roman"/>
                <w:color w:val="FF0000"/>
                <w:highlight w:val="none"/>
                <w:lang w:val="en-US" w:eastAsia="zh-CN"/>
              </w:rPr>
              <w:t>小。</w:t>
            </w:r>
          </w:p>
          <w:p>
            <w:pPr>
              <w:pStyle w:val="6"/>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（3）</w:t>
            </w:r>
            <w:r>
              <w:rPr>
                <w:rFonts w:hint="default" w:ascii="Times New Roman" w:hAnsi="Times New Roman" w:eastAsia="宋体" w:cs="Times New Roman"/>
                <w:lang w:val="en-US" w:eastAsia="zh-CN"/>
              </w:rPr>
              <w:t>水环境影响分析</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本项目生活污水成分简单且产生量较小，经厂区化粪池处理后排入市政污水管网</w:t>
            </w:r>
            <w:r>
              <w:rPr>
                <w:rFonts w:hint="default" w:ascii="Times New Roman" w:hAnsi="Times New Roman" w:cs="Times New Roman"/>
                <w:color w:val="FF0000"/>
                <w:highlight w:val="none"/>
                <w:lang w:val="en-US" w:eastAsia="zh-CN"/>
              </w:rPr>
              <w:t>，</w:t>
            </w:r>
            <w:r>
              <w:rPr>
                <w:rFonts w:hint="eastAsia" w:cs="Times New Roman"/>
                <w:color w:val="FF0000"/>
                <w:highlight w:val="none"/>
                <w:lang w:val="en-US" w:eastAsia="zh-CN"/>
              </w:rPr>
              <w:t>进银定图镇丰乐新村污水处理站进一步处理，</w:t>
            </w:r>
            <w:r>
              <w:rPr>
                <w:rFonts w:hint="default" w:ascii="Times New Roman" w:hAnsi="Times New Roman" w:cs="Times New Roman"/>
                <w:lang w:val="en-US" w:eastAsia="zh-CN"/>
              </w:rPr>
              <w:t>满足《污水综合排放标准》三级标准要求，对周边水环境影响较小。</w:t>
            </w:r>
          </w:p>
          <w:p>
            <w:pPr>
              <w:rPr>
                <w:rFonts w:hint="default" w:ascii="Times New Roman" w:hAnsi="Times New Roman" w:cs="Times New Roman"/>
                <w:b/>
                <w:bCs/>
                <w:color w:val="auto"/>
                <w:sz w:val="24"/>
              </w:rPr>
            </w:pPr>
            <w:r>
              <w:rPr>
                <w:rFonts w:hint="default" w:ascii="Times New Roman" w:hAnsi="Times New Roman" w:cs="Times New Roman"/>
                <w:b/>
                <w:bCs/>
                <w:color w:val="auto"/>
                <w:sz w:val="24"/>
              </w:rPr>
              <w:t>3、噪声</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（1）噪声源</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本项目运营期噪声主要来源于筛选机、</w:t>
            </w:r>
            <w:r>
              <w:rPr>
                <w:rFonts w:hint="eastAsia" w:ascii="Times New Roman" w:hAnsi="Times New Roman" w:cs="Times New Roman"/>
                <w:lang w:val="en-US" w:eastAsia="zh-CN"/>
              </w:rPr>
              <w:t>干炒</w:t>
            </w:r>
            <w:r>
              <w:rPr>
                <w:rFonts w:hint="default" w:ascii="Times New Roman" w:hAnsi="Times New Roman" w:eastAsia="宋体" w:cs="Times New Roman"/>
                <w:lang w:val="en-US" w:eastAsia="zh-CN"/>
              </w:rPr>
              <w:t>机、风机等设备产生的噪声，声级值范围在75~</w:t>
            </w:r>
            <w:r>
              <w:rPr>
                <w:rFonts w:hint="eastAsia" w:ascii="Times New Roman" w:hAnsi="Times New Roman" w:cs="Times New Roman"/>
                <w:lang w:val="en-US" w:eastAsia="zh-CN"/>
              </w:rPr>
              <w:t>8</w:t>
            </w:r>
            <w:r>
              <w:rPr>
                <w:rFonts w:hint="default" w:ascii="Times New Roman" w:hAnsi="Times New Roman" w:eastAsia="宋体" w:cs="Times New Roman"/>
                <w:lang w:val="en-US" w:eastAsia="zh-CN"/>
              </w:rPr>
              <w:t>0dB(A)之间。本项目针对不同性质的噪声源采用选择低噪声设备、采用整体减振基础、安装消声器等措施来减轻生产噪声对环境的影响；此外，通过车间墙体的阻隔也能衰减部分噪声。项目运营期主要设备噪声源强、安装位置及治理措施见表4-</w:t>
            </w:r>
            <w:r>
              <w:rPr>
                <w:rFonts w:hint="eastAsia" w:ascii="Times New Roman" w:hAnsi="Times New Roman" w:cs="Times New Roman"/>
                <w:lang w:val="en-US" w:eastAsia="zh-CN"/>
              </w:rPr>
              <w:t>6</w:t>
            </w:r>
            <w:r>
              <w:rPr>
                <w:rFonts w:hint="default" w:ascii="Times New Roman" w:hAnsi="Times New Roman" w:eastAsia="宋体" w:cs="Times New Roman"/>
                <w:lang w:val="en-US" w:eastAsia="zh-CN"/>
              </w:rPr>
              <w:t>。</w:t>
            </w:r>
          </w:p>
          <w:p>
            <w:pPr>
              <w:pStyle w:val="38"/>
              <w:bidi w:val="0"/>
              <w:rPr>
                <w:rFonts w:hint="default" w:ascii="Times New Roman" w:hAnsi="Times New Roman" w:cs="Times New Roman"/>
                <w:sz w:val="24"/>
                <w:szCs w:val="24"/>
              </w:rPr>
            </w:pPr>
            <w:r>
              <w:rPr>
                <w:rFonts w:hint="default" w:ascii="Times New Roman" w:hAnsi="Times New Roman" w:cs="Times New Roman"/>
                <w:sz w:val="24"/>
                <w:szCs w:val="24"/>
              </w:rPr>
              <w:t>表4-6 项目主要噪声源强及治理措施一览表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3"/>
              <w:gridCol w:w="1104"/>
              <w:gridCol w:w="682"/>
              <w:gridCol w:w="1278"/>
              <w:gridCol w:w="1009"/>
              <w:gridCol w:w="1146"/>
              <w:gridCol w:w="491"/>
              <w:gridCol w:w="518"/>
              <w:gridCol w:w="464"/>
              <w:gridCol w:w="4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03" w:type="dxa"/>
                  <w:vMerge w:val="restart"/>
                  <w:vAlign w:val="center"/>
                </w:tcPr>
                <w:p>
                  <w:pPr>
                    <w:pStyle w:val="39"/>
                    <w:bidi w:val="0"/>
                    <w:rPr>
                      <w:rFonts w:hint="default" w:ascii="Times New Roman" w:hAnsi="Times New Roman" w:cs="Times New Roman"/>
                      <w:b/>
                      <w:bCs/>
                    </w:rPr>
                  </w:pPr>
                  <w:r>
                    <w:rPr>
                      <w:rFonts w:hint="default" w:ascii="Times New Roman" w:hAnsi="Times New Roman" w:cs="Times New Roman"/>
                      <w:b/>
                      <w:bCs/>
                    </w:rPr>
                    <w:t>设备名称</w:t>
                  </w:r>
                </w:p>
              </w:tc>
              <w:tc>
                <w:tcPr>
                  <w:tcW w:w="1104" w:type="dxa"/>
                  <w:vMerge w:val="restart"/>
                  <w:vAlign w:val="center"/>
                </w:tcPr>
                <w:p>
                  <w:pPr>
                    <w:pStyle w:val="39"/>
                    <w:bidi w:val="0"/>
                    <w:rPr>
                      <w:rFonts w:hint="default" w:ascii="Times New Roman" w:hAnsi="Times New Roman" w:cs="Times New Roman"/>
                      <w:b/>
                      <w:bCs/>
                    </w:rPr>
                  </w:pPr>
                  <w:r>
                    <w:rPr>
                      <w:rFonts w:hint="default" w:ascii="Times New Roman" w:hAnsi="Times New Roman" w:cs="Times New Roman"/>
                      <w:b/>
                      <w:bCs/>
                    </w:rPr>
                    <w:t>产生强度（dB(A)）</w:t>
                  </w:r>
                </w:p>
              </w:tc>
              <w:tc>
                <w:tcPr>
                  <w:tcW w:w="682" w:type="dxa"/>
                  <w:vMerge w:val="restart"/>
                  <w:vAlign w:val="center"/>
                </w:tcPr>
                <w:p>
                  <w:pPr>
                    <w:pStyle w:val="39"/>
                    <w:bidi w:val="0"/>
                    <w:rPr>
                      <w:rFonts w:hint="default" w:ascii="Times New Roman" w:hAnsi="Times New Roman" w:cs="Times New Roman"/>
                      <w:b/>
                      <w:bCs/>
                    </w:rPr>
                  </w:pPr>
                  <w:r>
                    <w:rPr>
                      <w:rFonts w:hint="default" w:ascii="Times New Roman" w:hAnsi="Times New Roman" w:cs="Times New Roman"/>
                      <w:b/>
                      <w:bCs/>
                    </w:rPr>
                    <w:t>数量（个）</w:t>
                  </w:r>
                </w:p>
              </w:tc>
              <w:tc>
                <w:tcPr>
                  <w:tcW w:w="1278" w:type="dxa"/>
                  <w:vMerge w:val="restart"/>
                  <w:vAlign w:val="center"/>
                </w:tcPr>
                <w:p>
                  <w:pPr>
                    <w:pStyle w:val="39"/>
                    <w:bidi w:val="0"/>
                    <w:rPr>
                      <w:rFonts w:hint="default" w:ascii="Times New Roman" w:hAnsi="Times New Roman" w:cs="Times New Roman"/>
                      <w:b/>
                      <w:bCs/>
                      <w:color w:val="auto"/>
                    </w:rPr>
                  </w:pPr>
                  <w:r>
                    <w:rPr>
                      <w:rFonts w:hint="default" w:ascii="Times New Roman" w:hAnsi="Times New Roman" w:cs="Times New Roman"/>
                      <w:b/>
                      <w:bCs/>
                      <w:color w:val="auto"/>
                    </w:rPr>
                    <w:t>降噪措施</w:t>
                  </w:r>
                </w:p>
              </w:tc>
              <w:tc>
                <w:tcPr>
                  <w:tcW w:w="1009" w:type="dxa"/>
                  <w:vMerge w:val="restart"/>
                  <w:vAlign w:val="center"/>
                </w:tcPr>
                <w:p>
                  <w:pPr>
                    <w:pStyle w:val="39"/>
                    <w:bidi w:val="0"/>
                    <w:ind w:firstLine="0" w:firstLineChars="0"/>
                    <w:rPr>
                      <w:rFonts w:hint="default" w:ascii="Times New Roman" w:hAnsi="Times New Roman" w:eastAsia="宋体" w:cs="Times New Roman"/>
                      <w:b/>
                      <w:bCs/>
                      <w:color w:val="auto"/>
                      <w:sz w:val="21"/>
                    </w:rPr>
                  </w:pPr>
                  <w:r>
                    <w:rPr>
                      <w:rFonts w:hint="eastAsia"/>
                      <w:b/>
                      <w:bCs/>
                      <w:color w:val="auto"/>
                      <w:lang w:val="en-US" w:eastAsia="zh-CN"/>
                    </w:rPr>
                    <w:t>削减量</w:t>
                  </w:r>
                  <w:r>
                    <w:rPr>
                      <w:rFonts w:hint="default" w:ascii="Times New Roman" w:hAnsi="Times New Roman" w:cs="Times New Roman"/>
                      <w:b/>
                      <w:bCs/>
                      <w:color w:val="auto"/>
                    </w:rPr>
                    <w:t>（dB(A)）</w:t>
                  </w:r>
                </w:p>
              </w:tc>
              <w:tc>
                <w:tcPr>
                  <w:tcW w:w="1146" w:type="dxa"/>
                  <w:vMerge w:val="restart"/>
                  <w:vAlign w:val="center"/>
                </w:tcPr>
                <w:p>
                  <w:pPr>
                    <w:pStyle w:val="39"/>
                    <w:bidi w:val="0"/>
                    <w:ind w:firstLine="0" w:firstLineChars="0"/>
                    <w:rPr>
                      <w:rFonts w:hint="default" w:ascii="Times New Roman" w:hAnsi="Times New Roman" w:eastAsia="宋体" w:cs="Times New Roman"/>
                      <w:b/>
                      <w:bCs/>
                      <w:color w:val="auto"/>
                      <w:sz w:val="21"/>
                    </w:rPr>
                  </w:pPr>
                  <w:r>
                    <w:rPr>
                      <w:rFonts w:hint="default" w:ascii="Times New Roman" w:hAnsi="Times New Roman" w:cs="Times New Roman"/>
                      <w:b/>
                      <w:bCs/>
                      <w:color w:val="auto"/>
                    </w:rPr>
                    <w:t>降噪</w:t>
                  </w:r>
                  <w:r>
                    <w:rPr>
                      <w:rFonts w:hint="eastAsia" w:ascii="Times New Roman" w:hAnsi="Times New Roman" w:cs="Times New Roman"/>
                      <w:b/>
                      <w:bCs/>
                      <w:color w:val="auto"/>
                      <w:lang w:val="en-US" w:eastAsia="zh-CN"/>
                    </w:rPr>
                    <w:t>后</w:t>
                  </w:r>
                  <w:r>
                    <w:rPr>
                      <w:rFonts w:hint="default" w:ascii="Times New Roman" w:hAnsi="Times New Roman" w:cs="Times New Roman"/>
                      <w:b/>
                      <w:bCs/>
                      <w:color w:val="auto"/>
                      <w:lang w:val="en-US" w:eastAsia="zh-CN"/>
                    </w:rPr>
                    <w:t>噪声</w:t>
                  </w:r>
                  <w:r>
                    <w:rPr>
                      <w:rFonts w:hint="default" w:ascii="Times New Roman" w:hAnsi="Times New Roman" w:cs="Times New Roman"/>
                      <w:b/>
                      <w:bCs/>
                      <w:color w:val="auto"/>
                    </w:rPr>
                    <w:t>（dB(A)）</w:t>
                  </w:r>
                </w:p>
              </w:tc>
              <w:tc>
                <w:tcPr>
                  <w:tcW w:w="1928" w:type="dxa"/>
                  <w:gridSpan w:val="4"/>
                  <w:vAlign w:val="center"/>
                </w:tcPr>
                <w:p>
                  <w:pPr>
                    <w:pStyle w:val="39"/>
                    <w:bidi w:val="0"/>
                    <w:rPr>
                      <w:rFonts w:hint="default" w:ascii="Times New Roman" w:hAnsi="Times New Roman" w:cs="Times New Roman"/>
                      <w:b/>
                      <w:bCs/>
                      <w:color w:val="auto"/>
                    </w:rPr>
                  </w:pPr>
                  <w:r>
                    <w:rPr>
                      <w:rFonts w:hint="default" w:ascii="Times New Roman" w:hAnsi="Times New Roman" w:cs="Times New Roman"/>
                      <w:b/>
                      <w:bCs/>
                      <w:color w:val="auto"/>
                    </w:rPr>
                    <w:t>距</w:t>
                  </w:r>
                  <w:r>
                    <w:rPr>
                      <w:rFonts w:hint="eastAsia" w:cs="Times New Roman"/>
                      <w:b/>
                      <w:bCs/>
                      <w:color w:val="auto"/>
                      <w:lang w:val="en-US" w:eastAsia="zh-CN"/>
                    </w:rPr>
                    <w:t>厂界</w:t>
                  </w:r>
                  <w:r>
                    <w:rPr>
                      <w:rFonts w:hint="default" w:ascii="Times New Roman" w:hAnsi="Times New Roman" w:cs="Times New Roman"/>
                      <w:b/>
                      <w:bCs/>
                      <w:color w:val="auto"/>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903" w:type="dxa"/>
                  <w:vMerge w:val="continue"/>
                  <w:vAlign w:val="center"/>
                </w:tcPr>
                <w:p>
                  <w:pPr>
                    <w:pStyle w:val="39"/>
                    <w:bidi w:val="0"/>
                  </w:pPr>
                </w:p>
              </w:tc>
              <w:tc>
                <w:tcPr>
                  <w:tcW w:w="1104" w:type="dxa"/>
                  <w:vMerge w:val="continue"/>
                  <w:vAlign w:val="center"/>
                </w:tcPr>
                <w:p>
                  <w:pPr>
                    <w:pStyle w:val="39"/>
                    <w:bidi w:val="0"/>
                  </w:pPr>
                </w:p>
              </w:tc>
              <w:tc>
                <w:tcPr>
                  <w:tcW w:w="682" w:type="dxa"/>
                  <w:vMerge w:val="continue"/>
                  <w:vAlign w:val="center"/>
                </w:tcPr>
                <w:p>
                  <w:pPr>
                    <w:pStyle w:val="39"/>
                    <w:bidi w:val="0"/>
                  </w:pPr>
                </w:p>
              </w:tc>
              <w:tc>
                <w:tcPr>
                  <w:tcW w:w="1278" w:type="dxa"/>
                  <w:vMerge w:val="continue"/>
                  <w:vAlign w:val="center"/>
                </w:tcPr>
                <w:p>
                  <w:pPr>
                    <w:pStyle w:val="39"/>
                    <w:bidi w:val="0"/>
                    <w:rPr>
                      <w:color w:val="auto"/>
                    </w:rPr>
                  </w:pPr>
                </w:p>
              </w:tc>
              <w:tc>
                <w:tcPr>
                  <w:tcW w:w="1009" w:type="dxa"/>
                  <w:vMerge w:val="continue"/>
                  <w:vAlign w:val="center"/>
                </w:tcPr>
                <w:p>
                  <w:pPr>
                    <w:pStyle w:val="39"/>
                    <w:bidi w:val="0"/>
                    <w:rPr>
                      <w:color w:val="auto"/>
                    </w:rPr>
                  </w:pPr>
                </w:p>
              </w:tc>
              <w:tc>
                <w:tcPr>
                  <w:tcW w:w="1146" w:type="dxa"/>
                  <w:vMerge w:val="continue"/>
                  <w:vAlign w:val="center"/>
                </w:tcPr>
                <w:p>
                  <w:pPr>
                    <w:pStyle w:val="39"/>
                    <w:bidi w:val="0"/>
                    <w:rPr>
                      <w:color w:val="auto"/>
                    </w:rPr>
                  </w:pPr>
                </w:p>
              </w:tc>
              <w:tc>
                <w:tcPr>
                  <w:tcW w:w="491" w:type="dxa"/>
                  <w:vAlign w:val="center"/>
                </w:tcPr>
                <w:p>
                  <w:pPr>
                    <w:pStyle w:val="39"/>
                    <w:bidi w:val="0"/>
                    <w:rPr>
                      <w:rFonts w:hint="eastAsia" w:ascii="Times New Roman" w:hAnsi="Times New Roman" w:eastAsia="宋体" w:cs="Times New Roman"/>
                      <w:b/>
                      <w:bCs/>
                      <w:color w:val="auto"/>
                      <w:lang w:val="en-US" w:eastAsia="zh-CN"/>
                    </w:rPr>
                  </w:pPr>
                  <w:r>
                    <w:rPr>
                      <w:rFonts w:hint="eastAsia" w:cs="Times New Roman"/>
                      <w:b/>
                      <w:bCs/>
                      <w:color w:val="auto"/>
                      <w:lang w:val="en-US" w:eastAsia="zh-CN"/>
                    </w:rPr>
                    <w:t>东</w:t>
                  </w:r>
                </w:p>
              </w:tc>
              <w:tc>
                <w:tcPr>
                  <w:tcW w:w="518" w:type="dxa"/>
                  <w:vAlign w:val="center"/>
                </w:tcPr>
                <w:p>
                  <w:pPr>
                    <w:pStyle w:val="39"/>
                    <w:bidi w:val="0"/>
                    <w:rPr>
                      <w:rFonts w:hint="default" w:ascii="Times New Roman" w:hAnsi="Times New Roman" w:cs="Times New Roman"/>
                      <w:b/>
                      <w:bCs/>
                      <w:color w:val="auto"/>
                    </w:rPr>
                  </w:pPr>
                  <w:r>
                    <w:rPr>
                      <w:rFonts w:hint="eastAsia" w:cs="Times New Roman"/>
                      <w:b/>
                      <w:bCs/>
                      <w:color w:val="auto"/>
                      <w:lang w:val="en-US" w:eastAsia="zh-CN"/>
                    </w:rPr>
                    <w:t>南</w:t>
                  </w:r>
                </w:p>
              </w:tc>
              <w:tc>
                <w:tcPr>
                  <w:tcW w:w="464" w:type="dxa"/>
                  <w:vAlign w:val="center"/>
                </w:tcPr>
                <w:p>
                  <w:pPr>
                    <w:pStyle w:val="39"/>
                    <w:bidi w:val="0"/>
                    <w:rPr>
                      <w:rFonts w:hint="eastAsia" w:ascii="Times New Roman" w:hAnsi="Times New Roman" w:eastAsia="宋体" w:cs="Times New Roman"/>
                      <w:b/>
                      <w:bCs/>
                      <w:color w:val="auto"/>
                      <w:lang w:val="en-US" w:eastAsia="zh-CN"/>
                    </w:rPr>
                  </w:pPr>
                  <w:r>
                    <w:rPr>
                      <w:rFonts w:hint="eastAsia" w:cs="Times New Roman"/>
                      <w:b/>
                      <w:bCs/>
                      <w:color w:val="auto"/>
                      <w:lang w:val="en-US" w:eastAsia="zh-CN"/>
                    </w:rPr>
                    <w:t>西</w:t>
                  </w:r>
                </w:p>
              </w:tc>
              <w:tc>
                <w:tcPr>
                  <w:tcW w:w="455" w:type="dxa"/>
                  <w:vAlign w:val="center"/>
                </w:tcPr>
                <w:p>
                  <w:pPr>
                    <w:pStyle w:val="39"/>
                    <w:bidi w:val="0"/>
                    <w:rPr>
                      <w:rFonts w:hint="eastAsia" w:ascii="Times New Roman" w:hAnsi="Times New Roman" w:eastAsia="宋体" w:cs="Times New Roman"/>
                      <w:b/>
                      <w:bCs/>
                      <w:color w:val="auto"/>
                      <w:lang w:val="en-US" w:eastAsia="zh-CN"/>
                    </w:rPr>
                  </w:pPr>
                  <w:r>
                    <w:rPr>
                      <w:rFonts w:hint="eastAsia" w:cs="Times New Roman"/>
                      <w:b/>
                      <w:bCs/>
                      <w:color w:val="auto"/>
                      <w:lang w:val="en-US" w:eastAsia="zh-CN"/>
                    </w:rPr>
                    <w:t>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3" w:type="dxa"/>
                  <w:vAlign w:val="center"/>
                </w:tcPr>
                <w:p>
                  <w:pPr>
                    <w:pStyle w:val="39"/>
                    <w:bidi w:val="0"/>
                    <w:rPr>
                      <w:rFonts w:hint="default" w:ascii="Times New Roman" w:hAnsi="Times New Roman" w:cs="Times New Roman"/>
                    </w:rPr>
                  </w:pPr>
                  <w:r>
                    <w:rPr>
                      <w:rFonts w:hint="default" w:ascii="Times New Roman" w:hAnsi="Times New Roman" w:eastAsia="宋体" w:cs="Times New Roman"/>
                      <w:lang w:val="en-US" w:eastAsia="zh-CN"/>
                    </w:rPr>
                    <w:t>筛选机</w:t>
                  </w:r>
                </w:p>
              </w:tc>
              <w:tc>
                <w:tcPr>
                  <w:tcW w:w="1104" w:type="dxa"/>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80</w:t>
                  </w:r>
                </w:p>
              </w:tc>
              <w:tc>
                <w:tcPr>
                  <w:tcW w:w="682" w:type="dxa"/>
                  <w:vAlign w:val="center"/>
                </w:tcPr>
                <w:p>
                  <w:pPr>
                    <w:pStyle w:val="39"/>
                    <w:bidi w:val="0"/>
                    <w:rPr>
                      <w:rFonts w:hint="default" w:ascii="Times New Roman" w:hAnsi="Times New Roman" w:eastAsia="宋体" w:cs="Times New Roman"/>
                      <w:lang w:eastAsia="zh-CN"/>
                    </w:rPr>
                  </w:pPr>
                  <w:r>
                    <w:rPr>
                      <w:rFonts w:hint="default" w:ascii="Times New Roman" w:hAnsi="Times New Roman" w:cs="Times New Roman"/>
                      <w:lang w:val="en-US" w:eastAsia="zh-CN"/>
                    </w:rPr>
                    <w:t>1</w:t>
                  </w:r>
                </w:p>
              </w:tc>
              <w:tc>
                <w:tcPr>
                  <w:tcW w:w="1278" w:type="dxa"/>
                  <w:vMerge w:val="restart"/>
                  <w:vAlign w:val="center"/>
                </w:tcPr>
                <w:p>
                  <w:pPr>
                    <w:pStyle w:val="39"/>
                    <w:bidi w:val="0"/>
                    <w:rPr>
                      <w:rFonts w:hint="default" w:ascii="Times New Roman" w:hAnsi="Times New Roman" w:cs="Times New Roman"/>
                      <w:color w:val="auto"/>
                    </w:rPr>
                  </w:pPr>
                  <w:r>
                    <w:rPr>
                      <w:rFonts w:hint="default" w:ascii="Times New Roman" w:hAnsi="Times New Roman" w:cs="Times New Roman"/>
                      <w:color w:val="auto"/>
                    </w:rPr>
                    <w:t>选用低噪声设备，厂房隔声，基础减振，加强维护保养</w:t>
                  </w:r>
                </w:p>
              </w:tc>
              <w:tc>
                <w:tcPr>
                  <w:tcW w:w="1009" w:type="dxa"/>
                  <w:vAlign w:val="center"/>
                </w:tcPr>
                <w:p>
                  <w:pPr>
                    <w:pStyle w:val="39"/>
                    <w:bidi w:val="0"/>
                    <w:ind w:firstLine="0" w:firstLineChars="0"/>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lang w:val="en-US" w:eastAsia="zh-CN"/>
                    </w:rPr>
                    <w:t>25</w:t>
                  </w:r>
                </w:p>
              </w:tc>
              <w:tc>
                <w:tcPr>
                  <w:tcW w:w="1146"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55</w:t>
                  </w:r>
                </w:p>
              </w:tc>
              <w:tc>
                <w:tcPr>
                  <w:tcW w:w="491"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26</w:t>
                  </w:r>
                </w:p>
              </w:tc>
              <w:tc>
                <w:tcPr>
                  <w:tcW w:w="518"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43</w:t>
                  </w:r>
                </w:p>
              </w:tc>
              <w:tc>
                <w:tcPr>
                  <w:tcW w:w="464"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23</w:t>
                  </w:r>
                </w:p>
              </w:tc>
              <w:tc>
                <w:tcPr>
                  <w:tcW w:w="455"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3" w:type="dxa"/>
                  <w:vAlign w:val="center"/>
                </w:tcPr>
                <w:p>
                  <w:pPr>
                    <w:pStyle w:val="39"/>
                    <w:bidi w:val="0"/>
                    <w:rPr>
                      <w:rFonts w:hint="default" w:ascii="Times New Roman" w:hAnsi="Times New Roman" w:cs="Times New Roman"/>
                    </w:rPr>
                  </w:pPr>
                  <w:r>
                    <w:rPr>
                      <w:rFonts w:hint="default" w:ascii="Times New Roman" w:hAnsi="Times New Roman" w:eastAsia="宋体" w:cs="Times New Roman"/>
                      <w:lang w:val="en-US" w:eastAsia="zh-CN"/>
                    </w:rPr>
                    <w:t>炒货机</w:t>
                  </w:r>
                </w:p>
              </w:tc>
              <w:tc>
                <w:tcPr>
                  <w:tcW w:w="1104" w:type="dxa"/>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80</w:t>
                  </w:r>
                </w:p>
              </w:tc>
              <w:tc>
                <w:tcPr>
                  <w:tcW w:w="682" w:type="dxa"/>
                  <w:vAlign w:val="center"/>
                </w:tcPr>
                <w:p>
                  <w:pPr>
                    <w:pStyle w:val="39"/>
                    <w:bidi w:val="0"/>
                    <w:rPr>
                      <w:rFonts w:hint="default" w:ascii="Times New Roman" w:hAnsi="Times New Roman" w:eastAsia="宋体" w:cs="Times New Roman"/>
                      <w:lang w:eastAsia="zh-CN"/>
                    </w:rPr>
                  </w:pPr>
                  <w:r>
                    <w:rPr>
                      <w:rFonts w:hint="default" w:ascii="Times New Roman" w:hAnsi="Times New Roman" w:cs="Times New Roman"/>
                      <w:lang w:val="en-US" w:eastAsia="zh-CN"/>
                    </w:rPr>
                    <w:t>1</w:t>
                  </w:r>
                </w:p>
              </w:tc>
              <w:tc>
                <w:tcPr>
                  <w:tcW w:w="1278" w:type="dxa"/>
                  <w:vMerge w:val="continue"/>
                  <w:vAlign w:val="center"/>
                </w:tcPr>
                <w:p>
                  <w:pPr>
                    <w:pStyle w:val="39"/>
                    <w:bidi w:val="0"/>
                    <w:rPr>
                      <w:rFonts w:hint="default" w:ascii="Times New Roman" w:hAnsi="Times New Roman" w:cs="Times New Roman"/>
                      <w:color w:val="auto"/>
                    </w:rPr>
                  </w:pPr>
                </w:p>
              </w:tc>
              <w:tc>
                <w:tcPr>
                  <w:tcW w:w="1009" w:type="dxa"/>
                  <w:vAlign w:val="center"/>
                </w:tcPr>
                <w:p>
                  <w:pPr>
                    <w:pStyle w:val="39"/>
                    <w:bidi w:val="0"/>
                    <w:ind w:firstLine="0" w:firstLineChars="0"/>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lang w:val="en-US" w:eastAsia="zh-CN"/>
                    </w:rPr>
                    <w:t>25</w:t>
                  </w:r>
                </w:p>
              </w:tc>
              <w:tc>
                <w:tcPr>
                  <w:tcW w:w="1146"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55</w:t>
                  </w:r>
                </w:p>
              </w:tc>
              <w:tc>
                <w:tcPr>
                  <w:tcW w:w="491"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37</w:t>
                  </w:r>
                </w:p>
              </w:tc>
              <w:tc>
                <w:tcPr>
                  <w:tcW w:w="518"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54</w:t>
                  </w:r>
                </w:p>
              </w:tc>
              <w:tc>
                <w:tcPr>
                  <w:tcW w:w="464"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13</w:t>
                  </w:r>
                </w:p>
              </w:tc>
              <w:tc>
                <w:tcPr>
                  <w:tcW w:w="455"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3" w:type="dxa"/>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去杂机</w:t>
                  </w:r>
                </w:p>
              </w:tc>
              <w:tc>
                <w:tcPr>
                  <w:tcW w:w="1104" w:type="dxa"/>
                  <w:vAlign w:val="center"/>
                </w:tcPr>
                <w:p>
                  <w:pPr>
                    <w:pStyle w:val="39"/>
                    <w:bidi w:val="0"/>
                    <w:rPr>
                      <w:rFonts w:hint="default" w:ascii="Times New Roman" w:hAnsi="Times New Roman" w:eastAsia="宋体" w:cs="Times New Roman"/>
                      <w:lang w:eastAsia="zh-CN"/>
                    </w:rPr>
                  </w:pPr>
                  <w:r>
                    <w:rPr>
                      <w:rFonts w:hint="default" w:ascii="Times New Roman" w:hAnsi="Times New Roman" w:cs="Times New Roman"/>
                      <w:lang w:val="en-US" w:eastAsia="zh-CN"/>
                    </w:rPr>
                    <w:t>80</w:t>
                  </w:r>
                </w:p>
              </w:tc>
              <w:tc>
                <w:tcPr>
                  <w:tcW w:w="682" w:type="dxa"/>
                  <w:vAlign w:val="center"/>
                </w:tcPr>
                <w:p>
                  <w:pPr>
                    <w:pStyle w:val="39"/>
                    <w:bidi w:val="0"/>
                    <w:rPr>
                      <w:rFonts w:hint="default" w:ascii="Times New Roman" w:hAnsi="Times New Roman" w:eastAsia="宋体" w:cs="Times New Roman"/>
                      <w:lang w:eastAsia="zh-CN"/>
                    </w:rPr>
                  </w:pPr>
                  <w:r>
                    <w:rPr>
                      <w:rFonts w:hint="default" w:ascii="Times New Roman" w:hAnsi="Times New Roman" w:cs="Times New Roman"/>
                      <w:lang w:val="en-US" w:eastAsia="zh-CN"/>
                    </w:rPr>
                    <w:t>1</w:t>
                  </w:r>
                </w:p>
              </w:tc>
              <w:tc>
                <w:tcPr>
                  <w:tcW w:w="1278" w:type="dxa"/>
                  <w:vMerge w:val="continue"/>
                  <w:vAlign w:val="center"/>
                </w:tcPr>
                <w:p>
                  <w:pPr>
                    <w:pStyle w:val="39"/>
                    <w:bidi w:val="0"/>
                    <w:rPr>
                      <w:rFonts w:hint="default" w:ascii="Times New Roman" w:hAnsi="Times New Roman" w:cs="Times New Roman"/>
                      <w:color w:val="auto"/>
                    </w:rPr>
                  </w:pPr>
                </w:p>
              </w:tc>
              <w:tc>
                <w:tcPr>
                  <w:tcW w:w="1009" w:type="dxa"/>
                  <w:vAlign w:val="center"/>
                </w:tcPr>
                <w:p>
                  <w:pPr>
                    <w:pStyle w:val="39"/>
                    <w:bidi w:val="0"/>
                    <w:ind w:firstLine="0" w:firstLineChars="0"/>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lang w:val="en-US" w:eastAsia="zh-CN"/>
                    </w:rPr>
                    <w:t>25</w:t>
                  </w:r>
                </w:p>
              </w:tc>
              <w:tc>
                <w:tcPr>
                  <w:tcW w:w="1146"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55</w:t>
                  </w:r>
                </w:p>
              </w:tc>
              <w:tc>
                <w:tcPr>
                  <w:tcW w:w="491"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27</w:t>
                  </w:r>
                </w:p>
              </w:tc>
              <w:tc>
                <w:tcPr>
                  <w:tcW w:w="518"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36</w:t>
                  </w:r>
                </w:p>
              </w:tc>
              <w:tc>
                <w:tcPr>
                  <w:tcW w:w="464"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20</w:t>
                  </w:r>
                </w:p>
              </w:tc>
              <w:tc>
                <w:tcPr>
                  <w:tcW w:w="455"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3" w:type="dxa"/>
                  <w:vAlign w:val="center"/>
                </w:tcPr>
                <w:p>
                  <w:pPr>
                    <w:pStyle w:val="39"/>
                    <w:bidi w:val="0"/>
                    <w:rPr>
                      <w:rFonts w:hint="default" w:ascii="Times New Roman" w:hAnsi="Times New Roman" w:cs="Times New Roman"/>
                    </w:rPr>
                  </w:pPr>
                  <w:r>
                    <w:rPr>
                      <w:rFonts w:hint="default" w:ascii="Times New Roman" w:hAnsi="Times New Roman" w:eastAsia="宋体" w:cs="Times New Roman"/>
                      <w:lang w:val="en-US" w:eastAsia="zh-CN"/>
                    </w:rPr>
                    <w:t>风机</w:t>
                  </w:r>
                </w:p>
              </w:tc>
              <w:tc>
                <w:tcPr>
                  <w:tcW w:w="1104" w:type="dxa"/>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75</w:t>
                  </w:r>
                </w:p>
              </w:tc>
              <w:tc>
                <w:tcPr>
                  <w:tcW w:w="682" w:type="dxa"/>
                  <w:vAlign w:val="center"/>
                </w:tcPr>
                <w:p>
                  <w:pPr>
                    <w:pStyle w:val="39"/>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6</w:t>
                  </w:r>
                </w:p>
              </w:tc>
              <w:tc>
                <w:tcPr>
                  <w:tcW w:w="1278" w:type="dxa"/>
                  <w:vMerge w:val="continue"/>
                  <w:vAlign w:val="center"/>
                </w:tcPr>
                <w:p>
                  <w:pPr>
                    <w:pStyle w:val="39"/>
                    <w:bidi w:val="0"/>
                    <w:rPr>
                      <w:rFonts w:hint="default" w:ascii="Times New Roman" w:hAnsi="Times New Roman" w:cs="Times New Roman"/>
                      <w:color w:val="auto"/>
                    </w:rPr>
                  </w:pPr>
                </w:p>
              </w:tc>
              <w:tc>
                <w:tcPr>
                  <w:tcW w:w="1009" w:type="dxa"/>
                  <w:vAlign w:val="center"/>
                </w:tcPr>
                <w:p>
                  <w:pPr>
                    <w:pStyle w:val="39"/>
                    <w:bidi w:val="0"/>
                    <w:ind w:firstLine="0" w:firstLineChars="0"/>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lang w:val="en-US" w:eastAsia="zh-CN"/>
                    </w:rPr>
                    <w:t>25</w:t>
                  </w:r>
                </w:p>
              </w:tc>
              <w:tc>
                <w:tcPr>
                  <w:tcW w:w="1146"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50</w:t>
                  </w:r>
                </w:p>
              </w:tc>
              <w:tc>
                <w:tcPr>
                  <w:tcW w:w="491"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33</w:t>
                  </w:r>
                </w:p>
              </w:tc>
              <w:tc>
                <w:tcPr>
                  <w:tcW w:w="518"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64</w:t>
                  </w:r>
                </w:p>
              </w:tc>
              <w:tc>
                <w:tcPr>
                  <w:tcW w:w="464"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20</w:t>
                  </w:r>
                </w:p>
              </w:tc>
              <w:tc>
                <w:tcPr>
                  <w:tcW w:w="455" w:type="dxa"/>
                  <w:vAlign w:val="center"/>
                </w:tcPr>
                <w:p>
                  <w:pPr>
                    <w:pStyle w:val="39"/>
                    <w:bidi w:val="0"/>
                    <w:rPr>
                      <w:rFonts w:hint="default" w:ascii="Times New Roman" w:hAnsi="Times New Roman" w:cs="Times New Roman"/>
                      <w:color w:val="auto"/>
                      <w:lang w:val="en-US" w:eastAsia="zh-CN"/>
                    </w:rPr>
                  </w:pPr>
                  <w:r>
                    <w:rPr>
                      <w:rFonts w:hint="eastAsia" w:cs="Times New Roman"/>
                      <w:color w:val="auto"/>
                      <w:lang w:val="en-US" w:eastAsia="zh-CN"/>
                    </w:rPr>
                    <w:t>35</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w:t>
            </w:r>
            <w:r>
              <w:rPr>
                <w:rFonts w:hint="default" w:ascii="Times New Roman" w:hAnsi="Times New Roman" w:cs="Times New Roman"/>
                <w:bCs/>
                <w:snapToGrid w:val="0"/>
                <w:sz w:val="24"/>
              </w:rPr>
              <w:t>厂界达标情况</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本评价采用噪声衰减及叠加模式，对项目声源在厂界及环境敏感目标处的噪声贡献值进行预测，定量分析项目厂界及环境敏感目标处的噪声达标情况。</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①预测模式</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项目噪声根据以下公式进行预测：</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N个噪声源叠加公式：</w:t>
            </w:r>
          </w:p>
          <w:p>
            <w:pPr>
              <w:pStyle w:val="6"/>
              <w:bidi w:val="0"/>
              <w:spacing w:line="240" w:lineRule="auto"/>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color w:val="auto"/>
                <w:position w:val="-28"/>
                <w:sz w:val="24"/>
                <w:highlight w:val="none"/>
              </w:rPr>
              <w:object>
                <v:shape id="_x0000_i1026" o:spt="75" type="#_x0000_t75" style="height:33pt;width:132pt;" o:ole="t" filled="f" o:preferrelative="t" stroked="f" coordsize="21600,21600">
                  <v:path/>
                  <v:fill on="f" focussize="0,0"/>
                  <v:stroke on="f"/>
                  <v:imagedata r:id="rId18" o:title=""/>
                  <o:lock v:ext="edit" aspectratio="t"/>
                  <w10:wrap type="none"/>
                  <w10:anchorlock/>
                </v:shape>
                <o:OLEObject Type="Embed" ProgID="Equation.3" ShapeID="_x0000_i1026" DrawAspect="Content" ObjectID="_1468075726" r:id="rId17">
                  <o:LockedField>false</o:LockedField>
                </o:OLEObject>
              </w:objec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式中：L—总等效声级，dB(A)；</w:t>
            </w:r>
          </w:p>
          <w:p>
            <w:pPr>
              <w:pStyle w:val="6"/>
              <w:bidi w:val="0"/>
              <w:ind w:left="0" w:leftChars="0" w:firstLine="1060" w:firstLineChars="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L1、L2……Ln—分别是N个噪声源的等效声级，dB(A)。</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噪声随距离增加引起的衰减公式：</w:t>
            </w:r>
          </w:p>
          <w:p>
            <w:pPr>
              <w:pStyle w:val="6"/>
              <w:bidi w:val="0"/>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LA(r)=Lwa-20lg(r)-8</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式中：LA(r)—距点源r处噪声值，dB(A)；</w:t>
            </w:r>
          </w:p>
          <w:p>
            <w:pPr>
              <w:pStyle w:val="6"/>
              <w:bidi w:val="0"/>
              <w:ind w:left="0" w:leftChars="0" w:firstLine="1060" w:firstLineChars="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r—是距噪声源的距离，米，</w:t>
            </w:r>
          </w:p>
          <w:p>
            <w:pPr>
              <w:pStyle w:val="6"/>
              <w:bidi w:val="0"/>
              <w:ind w:left="0" w:leftChars="0" w:firstLine="1060" w:firstLineChars="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Lwa—是点声源的声压级，dB(A)。</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②厂界及环境敏感目标处噪声预测结果及达标情况</w:t>
            </w:r>
          </w:p>
          <w:p>
            <w:pPr>
              <w:pStyle w:val="6"/>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根据项目主要噪声源及其源强预测得到项目厂界及环境敏感目标处噪声如表</w:t>
            </w:r>
            <w:r>
              <w:rPr>
                <w:rFonts w:hint="eastAsia" w:ascii="Times New Roman" w:hAnsi="Times New Roman" w:cs="Times New Roman"/>
                <w:lang w:val="en-US" w:eastAsia="zh-CN"/>
              </w:rPr>
              <w:t>4-7、表4-8</w:t>
            </w:r>
            <w:r>
              <w:rPr>
                <w:rFonts w:hint="default" w:ascii="Times New Roman" w:hAnsi="Times New Roman" w:eastAsia="宋体" w:cs="Times New Roman"/>
                <w:lang w:val="en-US" w:eastAsia="zh-CN"/>
              </w:rPr>
              <w:t>所示：</w:t>
            </w:r>
          </w:p>
          <w:p>
            <w:pPr>
              <w:spacing w:line="240" w:lineRule="auto"/>
              <w:jc w:val="center"/>
              <w:rPr>
                <w:rFonts w:hint="eastAsia" w:cs="Times New Roman"/>
                <w:b/>
                <w:bCs/>
                <w:sz w:val="24"/>
                <w:szCs w:val="24"/>
                <w:lang w:val="en-US" w:eastAsia="zh-CN"/>
              </w:rPr>
            </w:pPr>
            <w:r>
              <w:rPr>
                <w:rFonts w:hint="default" w:ascii="Times New Roman" w:hAnsi="Times New Roman" w:cs="Times New Roman"/>
                <w:b/>
                <w:bCs/>
                <w:sz w:val="24"/>
                <w:szCs w:val="24"/>
              </w:rPr>
              <w:t>表4-7 项目</w:t>
            </w:r>
            <w:r>
              <w:rPr>
                <w:rFonts w:hint="eastAsia" w:cs="Times New Roman"/>
                <w:b/>
                <w:bCs/>
                <w:sz w:val="24"/>
                <w:szCs w:val="24"/>
                <w:lang w:val="en-US" w:eastAsia="zh-CN"/>
              </w:rPr>
              <w:t>厂界</w:t>
            </w:r>
            <w:r>
              <w:rPr>
                <w:rFonts w:hint="default" w:ascii="Times New Roman" w:hAnsi="Times New Roman" w:cs="Times New Roman"/>
                <w:b/>
                <w:bCs/>
                <w:sz w:val="24"/>
                <w:szCs w:val="24"/>
              </w:rPr>
              <w:t>噪声预测</w:t>
            </w:r>
            <w:r>
              <w:rPr>
                <w:rFonts w:hint="eastAsia" w:cs="Times New Roman"/>
                <w:b/>
                <w:bCs/>
                <w:sz w:val="24"/>
                <w:szCs w:val="24"/>
                <w:lang w:val="en-US" w:eastAsia="zh-CN"/>
              </w:rPr>
              <w:t>结果</w:t>
            </w:r>
          </w:p>
          <w:tbl>
            <w:tblPr>
              <w:tblStyle w:val="24"/>
              <w:tblW w:w="800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81"/>
              <w:gridCol w:w="1391"/>
              <w:gridCol w:w="1487"/>
              <w:gridCol w:w="1431"/>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81" w:type="dxa"/>
                </w:tcPr>
                <w:p>
                  <w:pPr>
                    <w:adjustRightInd w:val="0"/>
                    <w:snapToGrid w:val="0"/>
                    <w:spacing w:line="240" w:lineRule="auto"/>
                    <w:jc w:val="center"/>
                    <w:rPr>
                      <w:rFonts w:hint="eastAsia"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预测点</w:t>
                  </w:r>
                </w:p>
              </w:tc>
              <w:tc>
                <w:tcPr>
                  <w:tcW w:w="1391" w:type="dxa"/>
                </w:tcPr>
                <w:p>
                  <w:pPr>
                    <w:adjustRightInd w:val="0"/>
                    <w:snapToGrid w:val="0"/>
                    <w:spacing w:line="240" w:lineRule="auto"/>
                    <w:jc w:val="center"/>
                    <w:rPr>
                      <w:rFonts w:hint="eastAsia" w:ascii="Times New Roman" w:hAnsi="Times New Roman" w:eastAsia="宋体" w:cs="Times New Roman"/>
                      <w:b/>
                      <w:bCs/>
                      <w:kern w:val="0"/>
                      <w:sz w:val="21"/>
                      <w:szCs w:val="21"/>
                      <w:lang w:val="en-US" w:eastAsia="zh-CN"/>
                    </w:rPr>
                  </w:pPr>
                  <w:r>
                    <w:rPr>
                      <w:rFonts w:hint="eastAsia" w:ascii="Times New Roman" w:hAnsi="Times New Roman" w:cs="Times New Roman"/>
                      <w:b/>
                      <w:bCs/>
                      <w:kern w:val="0"/>
                      <w:sz w:val="21"/>
                      <w:szCs w:val="21"/>
                      <w:lang w:val="en-US" w:eastAsia="zh-CN"/>
                    </w:rPr>
                    <w:t>东厂界</w:t>
                  </w:r>
                </w:p>
              </w:tc>
              <w:tc>
                <w:tcPr>
                  <w:tcW w:w="1487" w:type="dxa"/>
                </w:tcPr>
                <w:p>
                  <w:pPr>
                    <w:adjustRightInd w:val="0"/>
                    <w:snapToGrid w:val="0"/>
                    <w:spacing w:line="240" w:lineRule="auto"/>
                    <w:jc w:val="center"/>
                    <w:rPr>
                      <w:rFonts w:hint="eastAsia" w:ascii="Times New Roman" w:hAnsi="Times New Roman" w:eastAsia="宋体" w:cs="Times New Roman"/>
                      <w:b/>
                      <w:bCs/>
                      <w:kern w:val="0"/>
                      <w:sz w:val="21"/>
                      <w:szCs w:val="21"/>
                      <w:lang w:val="en-US" w:eastAsia="zh-CN"/>
                    </w:rPr>
                  </w:pPr>
                  <w:r>
                    <w:rPr>
                      <w:rFonts w:hint="eastAsia" w:ascii="Times New Roman" w:hAnsi="Times New Roman" w:cs="Times New Roman"/>
                      <w:b/>
                      <w:bCs/>
                      <w:kern w:val="0"/>
                      <w:sz w:val="21"/>
                      <w:szCs w:val="21"/>
                      <w:lang w:val="en-US" w:eastAsia="zh-CN"/>
                    </w:rPr>
                    <w:t>南厂界</w:t>
                  </w:r>
                </w:p>
              </w:tc>
              <w:tc>
                <w:tcPr>
                  <w:tcW w:w="1431" w:type="dxa"/>
                </w:tcPr>
                <w:p>
                  <w:pPr>
                    <w:adjustRightInd w:val="0"/>
                    <w:snapToGrid w:val="0"/>
                    <w:spacing w:line="240" w:lineRule="auto"/>
                    <w:jc w:val="center"/>
                    <w:rPr>
                      <w:rFonts w:hint="eastAsia" w:ascii="Times New Roman" w:hAnsi="Times New Roman" w:eastAsia="宋体" w:cs="Times New Roman"/>
                      <w:b/>
                      <w:bCs/>
                      <w:kern w:val="0"/>
                      <w:sz w:val="21"/>
                      <w:szCs w:val="21"/>
                      <w:lang w:val="en-US" w:eastAsia="zh-CN"/>
                    </w:rPr>
                  </w:pPr>
                  <w:r>
                    <w:rPr>
                      <w:rFonts w:hint="eastAsia" w:ascii="Times New Roman" w:hAnsi="Times New Roman" w:cs="Times New Roman"/>
                      <w:b/>
                      <w:bCs/>
                      <w:kern w:val="0"/>
                      <w:sz w:val="21"/>
                      <w:szCs w:val="21"/>
                      <w:lang w:val="en-US" w:eastAsia="zh-CN"/>
                    </w:rPr>
                    <w:t>西厂界</w:t>
                  </w:r>
                </w:p>
              </w:tc>
              <w:tc>
                <w:tcPr>
                  <w:tcW w:w="1418" w:type="dxa"/>
                </w:tcPr>
                <w:p>
                  <w:pPr>
                    <w:adjustRightInd w:val="0"/>
                    <w:snapToGrid w:val="0"/>
                    <w:spacing w:line="240" w:lineRule="auto"/>
                    <w:jc w:val="center"/>
                    <w:rPr>
                      <w:rFonts w:hint="eastAsia" w:ascii="Times New Roman" w:hAnsi="Times New Roman" w:eastAsia="宋体" w:cs="Times New Roman"/>
                      <w:b/>
                      <w:bCs/>
                      <w:kern w:val="0"/>
                      <w:sz w:val="21"/>
                      <w:szCs w:val="21"/>
                      <w:lang w:val="en-US" w:eastAsia="zh-CN"/>
                    </w:rPr>
                  </w:pPr>
                  <w:r>
                    <w:rPr>
                      <w:rFonts w:hint="eastAsia" w:ascii="Times New Roman" w:hAnsi="Times New Roman" w:cs="Times New Roman"/>
                      <w:b/>
                      <w:bCs/>
                      <w:kern w:val="0"/>
                      <w:sz w:val="21"/>
                      <w:szCs w:val="21"/>
                      <w:lang w:val="en-US" w:eastAsia="zh-CN"/>
                    </w:rPr>
                    <w:t>北厂界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81" w:type="dxa"/>
                </w:tcPr>
                <w:p>
                  <w:pPr>
                    <w:adjustRightInd w:val="0"/>
                    <w:snapToGrid w:val="0"/>
                    <w:spacing w:line="240" w:lineRule="auto"/>
                    <w:jc w:val="center"/>
                    <w:rPr>
                      <w:rFonts w:hint="eastAsia" w:ascii="Times New Roman" w:hAnsi="Times New Roman" w:eastAsia="宋体" w:cs="Times New Roman"/>
                      <w:b w:val="0"/>
                      <w:bCs w:val="0"/>
                      <w:kern w:val="0"/>
                      <w:sz w:val="21"/>
                      <w:szCs w:val="21"/>
                      <w:lang w:val="en-US" w:eastAsia="zh-CN"/>
                    </w:rPr>
                  </w:pPr>
                  <w:r>
                    <w:rPr>
                      <w:rFonts w:hint="eastAsia" w:ascii="Times New Roman" w:hAnsi="Times New Roman" w:cs="Times New Roman"/>
                      <w:b w:val="0"/>
                      <w:bCs w:val="0"/>
                      <w:kern w:val="0"/>
                      <w:sz w:val="21"/>
                      <w:szCs w:val="21"/>
                      <w:lang w:val="en-US" w:eastAsia="zh-CN"/>
                    </w:rPr>
                    <w:t>贡献值</w:t>
                  </w:r>
                  <w:r>
                    <w:rPr>
                      <w:rFonts w:hint="default" w:ascii="Times New Roman" w:hAnsi="Times New Roman" w:cs="Times New Roman"/>
                      <w:b w:val="0"/>
                      <w:bCs w:val="0"/>
                      <w:sz w:val="21"/>
                      <w:szCs w:val="21"/>
                    </w:rPr>
                    <w:t>（dB（A））</w:t>
                  </w:r>
                </w:p>
              </w:tc>
              <w:tc>
                <w:tcPr>
                  <w:tcW w:w="1391" w:type="dxa"/>
                </w:tcPr>
                <w:p>
                  <w:pPr>
                    <w:adjustRightInd w:val="0"/>
                    <w:snapToGrid w:val="0"/>
                    <w:spacing w:line="240" w:lineRule="auto"/>
                    <w:jc w:val="center"/>
                    <w:rPr>
                      <w:rFonts w:hint="default" w:ascii="Times New Roman" w:hAnsi="Times New Roman" w:eastAsia="宋体" w:cs="Times New Roman"/>
                      <w:b w:val="0"/>
                      <w:bCs w:val="0"/>
                      <w:kern w:val="0"/>
                      <w:sz w:val="21"/>
                      <w:szCs w:val="21"/>
                      <w:lang w:val="en-US" w:eastAsia="zh-CN"/>
                    </w:rPr>
                  </w:pPr>
                  <w:r>
                    <w:rPr>
                      <w:rFonts w:hint="eastAsia" w:ascii="Times New Roman" w:hAnsi="Times New Roman" w:cs="Times New Roman"/>
                      <w:b w:val="0"/>
                      <w:bCs w:val="0"/>
                      <w:kern w:val="0"/>
                      <w:sz w:val="21"/>
                      <w:szCs w:val="21"/>
                      <w:lang w:val="en-US" w:eastAsia="zh-CN"/>
                    </w:rPr>
                    <w:t>42.5</w:t>
                  </w:r>
                </w:p>
              </w:tc>
              <w:tc>
                <w:tcPr>
                  <w:tcW w:w="1487" w:type="dxa"/>
                </w:tcPr>
                <w:p>
                  <w:pPr>
                    <w:adjustRightInd w:val="0"/>
                    <w:snapToGrid w:val="0"/>
                    <w:spacing w:line="240" w:lineRule="auto"/>
                    <w:jc w:val="center"/>
                    <w:rPr>
                      <w:rFonts w:hint="default" w:ascii="Times New Roman" w:hAnsi="Times New Roman" w:eastAsia="宋体" w:cs="Times New Roman"/>
                      <w:b w:val="0"/>
                      <w:bCs w:val="0"/>
                      <w:kern w:val="0"/>
                      <w:sz w:val="21"/>
                      <w:szCs w:val="21"/>
                      <w:lang w:val="en-US" w:eastAsia="zh-CN"/>
                    </w:rPr>
                  </w:pPr>
                  <w:r>
                    <w:rPr>
                      <w:rFonts w:hint="eastAsia" w:ascii="Times New Roman" w:hAnsi="Times New Roman" w:cs="Times New Roman"/>
                      <w:b w:val="0"/>
                      <w:bCs w:val="0"/>
                      <w:kern w:val="0"/>
                      <w:sz w:val="21"/>
                      <w:szCs w:val="21"/>
                      <w:lang w:val="en-US" w:eastAsia="zh-CN"/>
                    </w:rPr>
                    <w:t>38.5</w:t>
                  </w:r>
                </w:p>
              </w:tc>
              <w:tc>
                <w:tcPr>
                  <w:tcW w:w="1431" w:type="dxa"/>
                </w:tcPr>
                <w:p>
                  <w:pPr>
                    <w:adjustRightInd w:val="0"/>
                    <w:snapToGrid w:val="0"/>
                    <w:spacing w:line="240" w:lineRule="auto"/>
                    <w:jc w:val="center"/>
                    <w:rPr>
                      <w:rFonts w:hint="default" w:ascii="Times New Roman" w:hAnsi="Times New Roman" w:eastAsia="宋体" w:cs="Times New Roman"/>
                      <w:b w:val="0"/>
                      <w:bCs w:val="0"/>
                      <w:kern w:val="0"/>
                      <w:sz w:val="21"/>
                      <w:szCs w:val="21"/>
                      <w:lang w:val="en-US" w:eastAsia="zh-CN"/>
                    </w:rPr>
                  </w:pPr>
                  <w:r>
                    <w:rPr>
                      <w:rFonts w:hint="eastAsia" w:ascii="Times New Roman" w:hAnsi="Times New Roman" w:cs="Times New Roman"/>
                      <w:b w:val="0"/>
                      <w:bCs w:val="0"/>
                      <w:kern w:val="0"/>
                      <w:sz w:val="21"/>
                      <w:szCs w:val="21"/>
                      <w:lang w:val="en-US" w:eastAsia="zh-CN"/>
                    </w:rPr>
                    <w:t>45.5</w:t>
                  </w:r>
                </w:p>
              </w:tc>
              <w:tc>
                <w:tcPr>
                  <w:tcW w:w="1418" w:type="dxa"/>
                </w:tcPr>
                <w:p>
                  <w:pPr>
                    <w:adjustRightInd w:val="0"/>
                    <w:snapToGrid w:val="0"/>
                    <w:spacing w:line="240" w:lineRule="auto"/>
                    <w:jc w:val="center"/>
                    <w:rPr>
                      <w:rFonts w:hint="default" w:ascii="Times New Roman" w:hAnsi="Times New Roman" w:eastAsia="宋体" w:cs="Times New Roman"/>
                      <w:b w:val="0"/>
                      <w:bCs w:val="0"/>
                      <w:kern w:val="0"/>
                      <w:sz w:val="21"/>
                      <w:szCs w:val="21"/>
                      <w:lang w:val="en-US" w:eastAsia="zh-CN"/>
                    </w:rPr>
                  </w:pPr>
                  <w:r>
                    <w:rPr>
                      <w:rFonts w:hint="eastAsia" w:ascii="Times New Roman" w:hAnsi="Times New Roman" w:cs="Times New Roman"/>
                      <w:b w:val="0"/>
                      <w:bCs w:val="0"/>
                      <w:kern w:val="0"/>
                      <w:sz w:val="21"/>
                      <w:szCs w:val="21"/>
                      <w:lang w:val="en-US" w:eastAsia="zh-CN"/>
                    </w:rPr>
                    <w:t>3</w:t>
                  </w:r>
                  <w:r>
                    <w:rPr>
                      <w:rFonts w:hint="eastAsia" w:cs="Times New Roman"/>
                      <w:b w:val="0"/>
                      <w:bCs w:val="0"/>
                      <w:kern w:val="0"/>
                      <w:sz w:val="21"/>
                      <w:szCs w:val="21"/>
                      <w:lang w:val="en-US" w:eastAsia="zh-CN"/>
                    </w:rPr>
                    <w:t>6</w:t>
                  </w:r>
                  <w:r>
                    <w:rPr>
                      <w:rFonts w:hint="eastAsia" w:ascii="Times New Roman" w:hAnsi="Times New Roman" w:cs="Times New Roman"/>
                      <w:b w:val="0"/>
                      <w:bCs w:val="0"/>
                      <w:kern w:val="0"/>
                      <w:sz w:val="21"/>
                      <w:szCs w:val="21"/>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81" w:type="dxa"/>
                </w:tcPr>
                <w:p>
                  <w:pPr>
                    <w:adjustRightInd w:val="0"/>
                    <w:snapToGrid w:val="0"/>
                    <w:spacing w:line="240" w:lineRule="auto"/>
                    <w:jc w:val="center"/>
                    <w:rPr>
                      <w:rFonts w:hint="eastAsia" w:ascii="Times New Roman" w:hAnsi="Times New Roman" w:eastAsia="宋体" w:cs="Times New Roman"/>
                      <w:b w:val="0"/>
                      <w:bCs w:val="0"/>
                      <w:kern w:val="0"/>
                      <w:sz w:val="21"/>
                      <w:szCs w:val="21"/>
                      <w:lang w:val="en-US" w:eastAsia="zh-CN"/>
                    </w:rPr>
                  </w:pPr>
                  <w:r>
                    <w:rPr>
                      <w:rFonts w:hint="eastAsia" w:ascii="Times New Roman" w:hAnsi="Times New Roman" w:cs="Times New Roman"/>
                      <w:b w:val="0"/>
                      <w:bCs w:val="0"/>
                      <w:kern w:val="0"/>
                      <w:sz w:val="21"/>
                      <w:szCs w:val="21"/>
                      <w:lang w:val="en-US" w:eastAsia="zh-CN"/>
                    </w:rPr>
                    <w:t>厂界标准值</w:t>
                  </w:r>
                  <w:r>
                    <w:rPr>
                      <w:rFonts w:hint="default" w:ascii="Times New Roman" w:hAnsi="Times New Roman" w:cs="Times New Roman"/>
                      <w:b w:val="0"/>
                      <w:bCs w:val="0"/>
                      <w:sz w:val="21"/>
                      <w:szCs w:val="21"/>
                    </w:rPr>
                    <w:t>（dB（A））</w:t>
                  </w:r>
                </w:p>
              </w:tc>
              <w:tc>
                <w:tcPr>
                  <w:tcW w:w="5727" w:type="dxa"/>
                  <w:gridSpan w:val="4"/>
                </w:tcPr>
                <w:p>
                  <w:pPr>
                    <w:adjustRightInd w:val="0"/>
                    <w:snapToGrid w:val="0"/>
                    <w:spacing w:line="240" w:lineRule="auto"/>
                    <w:jc w:val="center"/>
                    <w:rPr>
                      <w:rFonts w:hint="default" w:ascii="Times New Roman" w:hAnsi="Times New Roman" w:cs="Times New Roman"/>
                      <w:b w:val="0"/>
                      <w:bCs w:val="0"/>
                      <w:kern w:val="0"/>
                      <w:sz w:val="21"/>
                      <w:szCs w:val="21"/>
                    </w:rPr>
                  </w:pPr>
                  <w:r>
                    <w:rPr>
                      <w:rFonts w:hint="default" w:ascii="Times New Roman" w:hAnsi="Times New Roman" w:cs="Times New Roman"/>
                      <w:b w:val="0"/>
                      <w:bCs w:val="0"/>
                      <w:kern w:val="0"/>
                      <w:sz w:val="21"/>
                      <w:szCs w:val="21"/>
                    </w:rPr>
                    <w:t>昼间60dB（A）、夜间50dB（A）</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ascii="Times New Roman" w:hAnsi="Times New Roman" w:cs="Times New Roman"/>
                <w:b/>
                <w:bCs/>
                <w:color w:val="FF0000"/>
                <w:sz w:val="24"/>
                <w:szCs w:val="24"/>
                <w:highlight w:val="none"/>
                <w:lang w:val="en-US" w:eastAsia="zh-CN"/>
              </w:rPr>
            </w:pPr>
            <w:r>
              <w:rPr>
                <w:rFonts w:hint="default" w:ascii="Times New Roman" w:hAnsi="Times New Roman" w:cs="Times New Roman"/>
                <w:b/>
                <w:bCs/>
                <w:color w:val="FF0000"/>
                <w:sz w:val="24"/>
                <w:szCs w:val="24"/>
                <w:highlight w:val="none"/>
              </w:rPr>
              <w:t>表4-</w:t>
            </w:r>
            <w:r>
              <w:rPr>
                <w:rFonts w:hint="eastAsia" w:ascii="Times New Roman" w:hAnsi="Times New Roman" w:cs="Times New Roman"/>
                <w:b/>
                <w:bCs/>
                <w:color w:val="FF0000"/>
                <w:sz w:val="24"/>
                <w:szCs w:val="24"/>
                <w:highlight w:val="none"/>
                <w:lang w:val="en-US" w:eastAsia="zh-CN"/>
              </w:rPr>
              <w:t>8</w:t>
            </w:r>
            <w:r>
              <w:rPr>
                <w:rFonts w:hint="default" w:ascii="Times New Roman" w:hAnsi="Times New Roman" w:cs="Times New Roman"/>
                <w:b/>
                <w:bCs/>
                <w:color w:val="FF0000"/>
                <w:sz w:val="24"/>
                <w:szCs w:val="24"/>
                <w:highlight w:val="none"/>
              </w:rPr>
              <w:t xml:space="preserve"> 项目</w:t>
            </w:r>
            <w:r>
              <w:rPr>
                <w:rFonts w:hint="default" w:ascii="Times New Roman" w:hAnsi="Times New Roman" w:cs="Times New Roman"/>
                <w:b/>
                <w:bCs/>
                <w:color w:val="FF0000"/>
                <w:sz w:val="24"/>
                <w:szCs w:val="24"/>
                <w:highlight w:val="none"/>
                <w:lang w:val="en-US" w:eastAsia="zh-CN"/>
              </w:rPr>
              <w:t>环境敏感目标处</w:t>
            </w:r>
            <w:r>
              <w:rPr>
                <w:rFonts w:hint="default" w:ascii="Times New Roman" w:hAnsi="Times New Roman" w:cs="Times New Roman"/>
                <w:b/>
                <w:bCs/>
                <w:color w:val="FF0000"/>
                <w:sz w:val="24"/>
                <w:szCs w:val="24"/>
                <w:highlight w:val="none"/>
              </w:rPr>
              <w:t>噪声预测</w:t>
            </w:r>
            <w:r>
              <w:rPr>
                <w:rFonts w:hint="eastAsia" w:ascii="Times New Roman" w:hAnsi="Times New Roman" w:cs="Times New Roman"/>
                <w:b/>
                <w:bCs/>
                <w:color w:val="FF0000"/>
                <w:sz w:val="24"/>
                <w:szCs w:val="24"/>
                <w:highlight w:val="none"/>
                <w:lang w:val="en-US" w:eastAsia="zh-CN"/>
              </w:rPr>
              <w:t>结果</w:t>
            </w:r>
          </w:p>
          <w:tbl>
            <w:tblPr>
              <w:tblStyle w:val="24"/>
              <w:tblW w:w="805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295"/>
              <w:gridCol w:w="1555"/>
              <w:gridCol w:w="1432"/>
              <w:gridCol w:w="1363"/>
              <w:gridCol w:w="1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7" w:type="dxa"/>
                  <w:vAlign w:val="center"/>
                </w:tcPr>
                <w:p>
                  <w:pPr>
                    <w:adjustRightInd w:val="0"/>
                    <w:snapToGrid w:val="0"/>
                    <w:spacing w:line="240" w:lineRule="auto"/>
                    <w:jc w:val="center"/>
                    <w:rPr>
                      <w:rFonts w:hint="default" w:ascii="Times New Roman" w:hAnsi="Times New Roman" w:cs="Times New Roman"/>
                      <w:b/>
                      <w:bCs/>
                      <w:color w:val="FF0000"/>
                      <w:kern w:val="0"/>
                      <w:sz w:val="21"/>
                      <w:szCs w:val="21"/>
                      <w:highlight w:val="none"/>
                      <w:lang w:val="en-US" w:eastAsia="zh-CN"/>
                    </w:rPr>
                  </w:pPr>
                  <w:r>
                    <w:rPr>
                      <w:rFonts w:hint="eastAsia" w:cs="Times New Roman"/>
                      <w:b/>
                      <w:bCs/>
                      <w:color w:val="FF0000"/>
                      <w:kern w:val="0"/>
                      <w:sz w:val="21"/>
                      <w:szCs w:val="21"/>
                      <w:highlight w:val="none"/>
                      <w:lang w:val="en-US" w:eastAsia="zh-CN"/>
                    </w:rPr>
                    <w:t>时间</w:t>
                  </w:r>
                </w:p>
              </w:tc>
              <w:tc>
                <w:tcPr>
                  <w:tcW w:w="1295" w:type="dxa"/>
                  <w:vAlign w:val="center"/>
                </w:tcPr>
                <w:p>
                  <w:pPr>
                    <w:adjustRightInd w:val="0"/>
                    <w:snapToGrid w:val="0"/>
                    <w:spacing w:line="240" w:lineRule="auto"/>
                    <w:jc w:val="center"/>
                    <w:rPr>
                      <w:rFonts w:hint="eastAsia" w:ascii="Times New Roman" w:hAnsi="Times New Roman" w:eastAsia="宋体" w:cs="Times New Roman"/>
                      <w:b/>
                      <w:bCs/>
                      <w:color w:val="FF0000"/>
                      <w:kern w:val="0"/>
                      <w:sz w:val="21"/>
                      <w:szCs w:val="21"/>
                      <w:highlight w:val="none"/>
                      <w:lang w:val="en-US" w:eastAsia="zh-CN" w:bidi="ar-SA"/>
                    </w:rPr>
                  </w:pPr>
                  <w:r>
                    <w:rPr>
                      <w:rFonts w:hint="eastAsia" w:ascii="Times New Roman" w:hAnsi="Times New Roman" w:cs="Times New Roman"/>
                      <w:b/>
                      <w:bCs/>
                      <w:color w:val="FF0000"/>
                      <w:kern w:val="0"/>
                      <w:sz w:val="21"/>
                      <w:szCs w:val="21"/>
                      <w:highlight w:val="none"/>
                      <w:lang w:val="en-US" w:eastAsia="zh-CN"/>
                    </w:rPr>
                    <w:t>预测点</w:t>
                  </w:r>
                </w:p>
              </w:tc>
              <w:tc>
                <w:tcPr>
                  <w:tcW w:w="1555" w:type="dxa"/>
                  <w:vAlign w:val="center"/>
                </w:tcPr>
                <w:p>
                  <w:pPr>
                    <w:adjustRightInd w:val="0"/>
                    <w:snapToGrid w:val="0"/>
                    <w:spacing w:line="240" w:lineRule="auto"/>
                    <w:jc w:val="center"/>
                    <w:rPr>
                      <w:rFonts w:hint="default" w:ascii="Times New Roman" w:hAnsi="Times New Roman" w:cs="Times New Roman"/>
                      <w:b/>
                      <w:bCs/>
                      <w:color w:val="FF0000"/>
                      <w:kern w:val="0"/>
                      <w:sz w:val="21"/>
                      <w:szCs w:val="21"/>
                      <w:highlight w:val="none"/>
                      <w:lang w:val="en-US" w:eastAsia="zh-CN"/>
                    </w:rPr>
                  </w:pPr>
                  <w:r>
                    <w:rPr>
                      <w:rFonts w:hint="eastAsia" w:ascii="Times New Roman" w:hAnsi="Times New Roman" w:cs="Times New Roman"/>
                      <w:b/>
                      <w:bCs/>
                      <w:color w:val="FF0000"/>
                      <w:kern w:val="0"/>
                      <w:sz w:val="21"/>
                      <w:szCs w:val="21"/>
                      <w:highlight w:val="none"/>
                      <w:lang w:val="en-US" w:eastAsia="zh-CN"/>
                    </w:rPr>
                    <w:t>贡献值</w:t>
                  </w:r>
                  <w:r>
                    <w:rPr>
                      <w:rFonts w:hint="default" w:ascii="Times New Roman" w:hAnsi="Times New Roman" w:cs="Times New Roman"/>
                      <w:b/>
                      <w:bCs/>
                      <w:color w:val="FF0000"/>
                      <w:sz w:val="21"/>
                      <w:szCs w:val="21"/>
                      <w:highlight w:val="none"/>
                    </w:rPr>
                    <w:t>（dB（A））</w:t>
                  </w:r>
                </w:p>
              </w:tc>
              <w:tc>
                <w:tcPr>
                  <w:tcW w:w="1432" w:type="dxa"/>
                  <w:vAlign w:val="center"/>
                </w:tcPr>
                <w:p>
                  <w:pPr>
                    <w:adjustRightInd w:val="0"/>
                    <w:snapToGrid w:val="0"/>
                    <w:spacing w:line="240" w:lineRule="auto"/>
                    <w:jc w:val="center"/>
                    <w:rPr>
                      <w:rFonts w:hint="default" w:ascii="Times New Roman" w:hAnsi="Times New Roman" w:cs="Times New Roman"/>
                      <w:b/>
                      <w:bCs/>
                      <w:color w:val="FF0000"/>
                      <w:kern w:val="0"/>
                      <w:sz w:val="21"/>
                      <w:szCs w:val="21"/>
                      <w:highlight w:val="none"/>
                      <w:lang w:val="en-US" w:eastAsia="zh-CN"/>
                    </w:rPr>
                  </w:pPr>
                  <w:r>
                    <w:rPr>
                      <w:rFonts w:hint="eastAsia" w:ascii="Times New Roman" w:hAnsi="Times New Roman" w:cs="Times New Roman"/>
                      <w:b/>
                      <w:bCs/>
                      <w:color w:val="FF0000"/>
                      <w:kern w:val="0"/>
                      <w:sz w:val="21"/>
                      <w:szCs w:val="21"/>
                      <w:highlight w:val="none"/>
                      <w:lang w:val="en-US" w:eastAsia="zh-CN"/>
                    </w:rPr>
                    <w:t>背景值</w:t>
                  </w:r>
                  <w:r>
                    <w:rPr>
                      <w:rFonts w:hint="default" w:ascii="Times New Roman" w:hAnsi="Times New Roman" w:cs="Times New Roman"/>
                      <w:b/>
                      <w:bCs/>
                      <w:color w:val="FF0000"/>
                      <w:sz w:val="21"/>
                      <w:szCs w:val="21"/>
                      <w:highlight w:val="none"/>
                    </w:rPr>
                    <w:t>（dB（A））</w:t>
                  </w:r>
                </w:p>
              </w:tc>
              <w:tc>
                <w:tcPr>
                  <w:tcW w:w="1363" w:type="dxa"/>
                  <w:vAlign w:val="center"/>
                </w:tcPr>
                <w:p>
                  <w:pPr>
                    <w:adjustRightInd w:val="0"/>
                    <w:snapToGrid w:val="0"/>
                    <w:spacing w:line="240" w:lineRule="auto"/>
                    <w:jc w:val="center"/>
                    <w:rPr>
                      <w:rFonts w:hint="eastAsia" w:ascii="Times New Roman" w:hAnsi="Times New Roman" w:cs="Times New Roman"/>
                      <w:b/>
                      <w:bCs/>
                      <w:color w:val="FF0000"/>
                      <w:kern w:val="0"/>
                      <w:sz w:val="21"/>
                      <w:szCs w:val="21"/>
                      <w:highlight w:val="none"/>
                      <w:lang w:val="en-US" w:eastAsia="zh-CN"/>
                    </w:rPr>
                  </w:pPr>
                  <w:r>
                    <w:rPr>
                      <w:rFonts w:hint="eastAsia" w:ascii="Times New Roman" w:hAnsi="Times New Roman" w:cs="Times New Roman"/>
                      <w:b/>
                      <w:bCs/>
                      <w:color w:val="FF0000"/>
                      <w:kern w:val="0"/>
                      <w:sz w:val="21"/>
                      <w:szCs w:val="21"/>
                      <w:highlight w:val="none"/>
                      <w:lang w:val="en-US" w:eastAsia="zh-CN"/>
                    </w:rPr>
                    <w:t>预测值</w:t>
                  </w:r>
                  <w:r>
                    <w:rPr>
                      <w:rFonts w:hint="default" w:ascii="Times New Roman" w:hAnsi="Times New Roman" w:cs="Times New Roman"/>
                      <w:b/>
                      <w:bCs/>
                      <w:color w:val="FF0000"/>
                      <w:sz w:val="21"/>
                      <w:szCs w:val="21"/>
                      <w:highlight w:val="none"/>
                    </w:rPr>
                    <w:t>（dB（A））</w:t>
                  </w:r>
                </w:p>
              </w:tc>
              <w:tc>
                <w:tcPr>
                  <w:tcW w:w="1528" w:type="dxa"/>
                  <w:vAlign w:val="center"/>
                </w:tcPr>
                <w:p>
                  <w:pPr>
                    <w:adjustRightInd w:val="0"/>
                    <w:snapToGrid w:val="0"/>
                    <w:spacing w:line="240" w:lineRule="auto"/>
                    <w:jc w:val="center"/>
                    <w:rPr>
                      <w:rFonts w:hint="default" w:ascii="Times New Roman" w:hAnsi="Times New Roman" w:cs="Times New Roman"/>
                      <w:b/>
                      <w:bCs/>
                      <w:color w:val="FF0000"/>
                      <w:kern w:val="0"/>
                      <w:sz w:val="21"/>
                      <w:szCs w:val="21"/>
                      <w:highlight w:val="none"/>
                      <w:lang w:val="en-US" w:eastAsia="zh-CN"/>
                    </w:rPr>
                  </w:pPr>
                  <w:r>
                    <w:rPr>
                      <w:rFonts w:hint="eastAsia" w:ascii="Times New Roman" w:hAnsi="Times New Roman" w:cs="Times New Roman"/>
                      <w:b/>
                      <w:bCs/>
                      <w:color w:val="FF0000"/>
                      <w:kern w:val="0"/>
                      <w:sz w:val="21"/>
                      <w:szCs w:val="21"/>
                      <w:highlight w:val="none"/>
                      <w:lang w:val="en-US" w:eastAsia="zh-CN"/>
                    </w:rPr>
                    <w:t>标准值</w:t>
                  </w:r>
                  <w:r>
                    <w:rPr>
                      <w:rFonts w:hint="default" w:ascii="Times New Roman" w:hAnsi="Times New Roman" w:cs="Times New Roman"/>
                      <w:b/>
                      <w:bCs/>
                      <w:color w:val="FF0000"/>
                      <w:sz w:val="21"/>
                      <w:szCs w:val="21"/>
                      <w:highlight w:val="none"/>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7" w:type="dxa"/>
                  <w:vAlign w:val="center"/>
                </w:tcPr>
                <w:p>
                  <w:pPr>
                    <w:spacing w:line="240" w:lineRule="auto"/>
                    <w:jc w:val="center"/>
                    <w:rPr>
                      <w:rFonts w:hint="default" w:ascii="Times New Roman" w:hAnsi="Times New Roman" w:eastAsia="宋体" w:cs="Times New Roman"/>
                      <w:b w:val="0"/>
                      <w:bCs w:val="0"/>
                      <w:color w:val="FF0000"/>
                      <w:kern w:val="2"/>
                      <w:sz w:val="21"/>
                      <w:szCs w:val="21"/>
                      <w:highlight w:val="none"/>
                      <w:lang w:val="en-US" w:eastAsia="zh-CN" w:bidi="ar-SA"/>
                    </w:rPr>
                  </w:pPr>
                  <w:r>
                    <w:rPr>
                      <w:rFonts w:hint="eastAsia" w:cs="Times New Roman"/>
                      <w:b w:val="0"/>
                      <w:bCs w:val="0"/>
                      <w:color w:val="FF0000"/>
                      <w:kern w:val="2"/>
                      <w:sz w:val="21"/>
                      <w:szCs w:val="21"/>
                      <w:highlight w:val="none"/>
                      <w:lang w:val="en-US" w:eastAsia="zh-CN" w:bidi="ar-SA"/>
                    </w:rPr>
                    <w:t>昼间</w:t>
                  </w:r>
                </w:p>
              </w:tc>
              <w:tc>
                <w:tcPr>
                  <w:tcW w:w="1295" w:type="dxa"/>
                  <w:vMerge w:val="restart"/>
                  <w:vAlign w:val="center"/>
                </w:tcPr>
                <w:p>
                  <w:pPr>
                    <w:spacing w:line="240" w:lineRule="auto"/>
                    <w:jc w:val="center"/>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cs="Times New Roman"/>
                      <w:b w:val="0"/>
                      <w:bCs w:val="0"/>
                      <w:color w:val="FF0000"/>
                      <w:sz w:val="21"/>
                      <w:szCs w:val="21"/>
                      <w:highlight w:val="none"/>
                    </w:rPr>
                    <w:t>厂</w:t>
                  </w:r>
                  <w:r>
                    <w:rPr>
                      <w:rFonts w:hint="default" w:ascii="Times New Roman" w:hAnsi="Times New Roman" w:cs="Times New Roman"/>
                      <w:b w:val="0"/>
                      <w:bCs w:val="0"/>
                      <w:color w:val="FF0000"/>
                      <w:sz w:val="21"/>
                      <w:szCs w:val="21"/>
                      <w:highlight w:val="none"/>
                      <w:lang w:val="en-US" w:eastAsia="zh-CN"/>
                    </w:rPr>
                    <w:t>区西北</w:t>
                  </w:r>
                  <w:r>
                    <w:rPr>
                      <w:rFonts w:hint="default" w:ascii="Times New Roman" w:hAnsi="Times New Roman" w:cs="Times New Roman"/>
                      <w:b w:val="0"/>
                      <w:bCs w:val="0"/>
                      <w:color w:val="FF0000"/>
                      <w:sz w:val="21"/>
                      <w:szCs w:val="21"/>
                      <w:highlight w:val="none"/>
                    </w:rPr>
                    <w:t>侧居民房</w:t>
                  </w:r>
                </w:p>
              </w:tc>
              <w:tc>
                <w:tcPr>
                  <w:tcW w:w="1555" w:type="dxa"/>
                  <w:vAlign w:val="center"/>
                </w:tcPr>
                <w:p>
                  <w:pPr>
                    <w:spacing w:line="240" w:lineRule="auto"/>
                    <w:jc w:val="center"/>
                    <w:rPr>
                      <w:rFonts w:hint="default" w:ascii="Times New Roman" w:hAnsi="Times New Roman" w:eastAsia="宋体" w:cs="Times New Roman"/>
                      <w:b w:val="0"/>
                      <w:bCs w:val="0"/>
                      <w:color w:val="FF0000"/>
                      <w:kern w:val="2"/>
                      <w:sz w:val="21"/>
                      <w:szCs w:val="21"/>
                      <w:highlight w:val="none"/>
                      <w:lang w:val="en-US" w:eastAsia="zh-CN" w:bidi="ar-SA"/>
                    </w:rPr>
                  </w:pPr>
                  <w:r>
                    <w:rPr>
                      <w:rFonts w:hint="eastAsia" w:cs="Times New Roman"/>
                      <w:b w:val="0"/>
                      <w:bCs w:val="0"/>
                      <w:color w:val="FF0000"/>
                      <w:kern w:val="2"/>
                      <w:sz w:val="21"/>
                      <w:szCs w:val="21"/>
                      <w:highlight w:val="none"/>
                      <w:lang w:val="en-US" w:eastAsia="zh-CN" w:bidi="ar-SA"/>
                    </w:rPr>
                    <w:t>30</w:t>
                  </w:r>
                  <w:r>
                    <w:rPr>
                      <w:rFonts w:hint="eastAsia" w:ascii="Times New Roman" w:hAnsi="Times New Roman" w:cs="Times New Roman"/>
                      <w:b w:val="0"/>
                      <w:bCs w:val="0"/>
                      <w:color w:val="FF0000"/>
                      <w:kern w:val="2"/>
                      <w:sz w:val="21"/>
                      <w:szCs w:val="21"/>
                      <w:highlight w:val="none"/>
                      <w:lang w:val="en-US" w:eastAsia="zh-CN" w:bidi="ar-SA"/>
                    </w:rPr>
                    <w:t>.5</w:t>
                  </w:r>
                </w:p>
              </w:tc>
              <w:tc>
                <w:tcPr>
                  <w:tcW w:w="1432" w:type="dxa"/>
                  <w:vAlign w:val="center"/>
                </w:tcPr>
                <w:p>
                  <w:pPr>
                    <w:adjustRightInd w:val="0"/>
                    <w:snapToGrid w:val="0"/>
                    <w:spacing w:line="240" w:lineRule="auto"/>
                    <w:jc w:val="center"/>
                    <w:rPr>
                      <w:rFonts w:hint="default" w:ascii="Times New Roman" w:hAnsi="Times New Roman" w:cs="Times New Roman"/>
                      <w:b w:val="0"/>
                      <w:bCs w:val="0"/>
                      <w:color w:val="FF0000"/>
                      <w:kern w:val="0"/>
                      <w:sz w:val="21"/>
                      <w:szCs w:val="21"/>
                      <w:highlight w:val="none"/>
                      <w:lang w:val="en-US" w:eastAsia="zh-CN"/>
                    </w:rPr>
                  </w:pPr>
                  <w:r>
                    <w:rPr>
                      <w:rFonts w:hint="eastAsia" w:cs="Times New Roman"/>
                      <w:b w:val="0"/>
                      <w:bCs w:val="0"/>
                      <w:color w:val="FF0000"/>
                      <w:kern w:val="0"/>
                      <w:sz w:val="21"/>
                      <w:szCs w:val="21"/>
                      <w:highlight w:val="none"/>
                      <w:lang w:val="en-US" w:eastAsia="zh-CN"/>
                    </w:rPr>
                    <w:t>48</w:t>
                  </w:r>
                </w:p>
              </w:tc>
              <w:tc>
                <w:tcPr>
                  <w:tcW w:w="1363" w:type="dxa"/>
                  <w:vAlign w:val="center"/>
                </w:tcPr>
                <w:p>
                  <w:pPr>
                    <w:adjustRightInd w:val="0"/>
                    <w:snapToGrid w:val="0"/>
                    <w:spacing w:line="240" w:lineRule="auto"/>
                    <w:jc w:val="center"/>
                    <w:rPr>
                      <w:rFonts w:hint="default" w:ascii="Times New Roman" w:hAnsi="Times New Roman" w:cs="Times New Roman"/>
                      <w:b w:val="0"/>
                      <w:bCs w:val="0"/>
                      <w:color w:val="FF0000"/>
                      <w:kern w:val="0"/>
                      <w:sz w:val="21"/>
                      <w:szCs w:val="21"/>
                      <w:highlight w:val="none"/>
                      <w:lang w:val="en-US" w:eastAsia="zh-CN"/>
                    </w:rPr>
                  </w:pPr>
                  <w:r>
                    <w:rPr>
                      <w:rFonts w:hint="eastAsia" w:cs="Times New Roman"/>
                      <w:b w:val="0"/>
                      <w:bCs w:val="0"/>
                      <w:color w:val="FF0000"/>
                      <w:kern w:val="0"/>
                      <w:sz w:val="21"/>
                      <w:szCs w:val="21"/>
                      <w:highlight w:val="none"/>
                      <w:lang w:val="en-US" w:eastAsia="zh-CN"/>
                    </w:rPr>
                    <w:t>48.1</w:t>
                  </w:r>
                </w:p>
              </w:tc>
              <w:tc>
                <w:tcPr>
                  <w:tcW w:w="1528" w:type="dxa"/>
                  <w:vAlign w:val="center"/>
                </w:tcPr>
                <w:p>
                  <w:pPr>
                    <w:adjustRightInd w:val="0"/>
                    <w:snapToGrid w:val="0"/>
                    <w:spacing w:line="240" w:lineRule="auto"/>
                    <w:jc w:val="center"/>
                    <w:rPr>
                      <w:rFonts w:hint="default" w:ascii="Times New Roman" w:hAnsi="Times New Roman"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7" w:type="dxa"/>
                  <w:vAlign w:val="center"/>
                </w:tcPr>
                <w:p>
                  <w:pPr>
                    <w:spacing w:line="240" w:lineRule="auto"/>
                    <w:jc w:val="center"/>
                    <w:rPr>
                      <w:rFonts w:hint="default" w:cs="Times New Roman"/>
                      <w:b w:val="0"/>
                      <w:bCs w:val="0"/>
                      <w:color w:val="FF0000"/>
                      <w:kern w:val="2"/>
                      <w:sz w:val="21"/>
                      <w:szCs w:val="21"/>
                      <w:highlight w:val="none"/>
                      <w:lang w:val="en-US" w:eastAsia="zh-CN" w:bidi="ar-SA"/>
                    </w:rPr>
                  </w:pPr>
                  <w:r>
                    <w:rPr>
                      <w:rFonts w:hint="eastAsia" w:cs="Times New Roman"/>
                      <w:b w:val="0"/>
                      <w:bCs w:val="0"/>
                      <w:color w:val="FF0000"/>
                      <w:kern w:val="2"/>
                      <w:sz w:val="21"/>
                      <w:szCs w:val="21"/>
                      <w:highlight w:val="none"/>
                      <w:lang w:val="en-US" w:eastAsia="zh-CN" w:bidi="ar-SA"/>
                    </w:rPr>
                    <w:t>夜间</w:t>
                  </w:r>
                </w:p>
              </w:tc>
              <w:tc>
                <w:tcPr>
                  <w:tcW w:w="1295" w:type="dxa"/>
                  <w:vMerge w:val="continue"/>
                  <w:vAlign w:val="center"/>
                </w:tcPr>
                <w:p>
                  <w:pPr>
                    <w:spacing w:line="240" w:lineRule="auto"/>
                    <w:jc w:val="center"/>
                    <w:rPr>
                      <w:rFonts w:hint="default" w:ascii="Times New Roman" w:hAnsi="Times New Roman" w:cs="Times New Roman"/>
                      <w:b w:val="0"/>
                      <w:bCs w:val="0"/>
                      <w:color w:val="FF0000"/>
                      <w:sz w:val="21"/>
                      <w:szCs w:val="21"/>
                      <w:highlight w:val="none"/>
                    </w:rPr>
                  </w:pPr>
                </w:p>
              </w:tc>
              <w:tc>
                <w:tcPr>
                  <w:tcW w:w="1555" w:type="dxa"/>
                  <w:vAlign w:val="center"/>
                </w:tcPr>
                <w:p>
                  <w:pPr>
                    <w:spacing w:line="240" w:lineRule="auto"/>
                    <w:jc w:val="center"/>
                    <w:rPr>
                      <w:rFonts w:hint="eastAsia" w:ascii="Times New Roman" w:hAnsi="Times New Roman" w:cs="Times New Roman"/>
                      <w:b w:val="0"/>
                      <w:bCs w:val="0"/>
                      <w:color w:val="FF0000"/>
                      <w:kern w:val="2"/>
                      <w:sz w:val="21"/>
                      <w:szCs w:val="21"/>
                      <w:highlight w:val="none"/>
                      <w:lang w:val="en-US" w:eastAsia="zh-CN" w:bidi="ar-SA"/>
                    </w:rPr>
                  </w:pPr>
                  <w:r>
                    <w:rPr>
                      <w:rFonts w:hint="eastAsia" w:cs="Times New Roman"/>
                      <w:b w:val="0"/>
                      <w:bCs w:val="0"/>
                      <w:color w:val="FF0000"/>
                      <w:kern w:val="2"/>
                      <w:sz w:val="21"/>
                      <w:szCs w:val="21"/>
                      <w:highlight w:val="none"/>
                      <w:lang w:val="en-US" w:eastAsia="zh-CN" w:bidi="ar-SA"/>
                    </w:rPr>
                    <w:t>30</w:t>
                  </w:r>
                  <w:r>
                    <w:rPr>
                      <w:rFonts w:hint="eastAsia" w:ascii="Times New Roman" w:hAnsi="Times New Roman" w:cs="Times New Roman"/>
                      <w:b w:val="0"/>
                      <w:bCs w:val="0"/>
                      <w:color w:val="FF0000"/>
                      <w:kern w:val="2"/>
                      <w:sz w:val="21"/>
                      <w:szCs w:val="21"/>
                      <w:highlight w:val="none"/>
                      <w:lang w:val="en-US" w:eastAsia="zh-CN" w:bidi="ar-SA"/>
                    </w:rPr>
                    <w:t>.5</w:t>
                  </w:r>
                </w:p>
              </w:tc>
              <w:tc>
                <w:tcPr>
                  <w:tcW w:w="1432" w:type="dxa"/>
                  <w:vAlign w:val="center"/>
                </w:tcPr>
                <w:p>
                  <w:pPr>
                    <w:adjustRightInd w:val="0"/>
                    <w:snapToGrid w:val="0"/>
                    <w:spacing w:line="240" w:lineRule="auto"/>
                    <w:jc w:val="center"/>
                    <w:rPr>
                      <w:rFonts w:hint="default" w:ascii="Times New Roman" w:hAnsi="Times New Roman" w:cs="Times New Roman"/>
                      <w:b w:val="0"/>
                      <w:bCs w:val="0"/>
                      <w:color w:val="FF0000"/>
                      <w:kern w:val="0"/>
                      <w:sz w:val="21"/>
                      <w:szCs w:val="21"/>
                      <w:highlight w:val="none"/>
                      <w:lang w:val="en-US" w:eastAsia="zh-CN"/>
                    </w:rPr>
                  </w:pPr>
                  <w:r>
                    <w:rPr>
                      <w:rFonts w:hint="eastAsia" w:cs="Times New Roman"/>
                      <w:b w:val="0"/>
                      <w:bCs w:val="0"/>
                      <w:color w:val="FF0000"/>
                      <w:kern w:val="0"/>
                      <w:sz w:val="21"/>
                      <w:szCs w:val="21"/>
                      <w:highlight w:val="none"/>
                      <w:lang w:val="en-US" w:eastAsia="zh-CN"/>
                    </w:rPr>
                    <w:t>44</w:t>
                  </w:r>
                </w:p>
              </w:tc>
              <w:tc>
                <w:tcPr>
                  <w:tcW w:w="1363" w:type="dxa"/>
                  <w:vAlign w:val="center"/>
                </w:tcPr>
                <w:p>
                  <w:pPr>
                    <w:adjustRightInd w:val="0"/>
                    <w:snapToGrid w:val="0"/>
                    <w:spacing w:line="240" w:lineRule="auto"/>
                    <w:jc w:val="center"/>
                    <w:rPr>
                      <w:rFonts w:hint="default" w:ascii="Times New Roman" w:hAnsi="Times New Roman" w:cs="Times New Roman"/>
                      <w:b w:val="0"/>
                      <w:bCs w:val="0"/>
                      <w:color w:val="FF0000"/>
                      <w:kern w:val="0"/>
                      <w:sz w:val="21"/>
                      <w:szCs w:val="21"/>
                      <w:highlight w:val="none"/>
                      <w:lang w:val="en-US" w:eastAsia="zh-CN"/>
                    </w:rPr>
                  </w:pPr>
                  <w:r>
                    <w:rPr>
                      <w:rFonts w:hint="eastAsia" w:cs="Times New Roman"/>
                      <w:b w:val="0"/>
                      <w:bCs w:val="0"/>
                      <w:color w:val="FF0000"/>
                      <w:kern w:val="0"/>
                      <w:sz w:val="21"/>
                      <w:szCs w:val="21"/>
                      <w:highlight w:val="none"/>
                      <w:lang w:val="en-US" w:eastAsia="zh-CN"/>
                    </w:rPr>
                    <w:t>44.2</w:t>
                  </w:r>
                </w:p>
              </w:tc>
              <w:tc>
                <w:tcPr>
                  <w:tcW w:w="1528" w:type="dxa"/>
                  <w:vAlign w:val="center"/>
                </w:tcPr>
                <w:p>
                  <w:pPr>
                    <w:adjustRightInd w:val="0"/>
                    <w:snapToGrid w:val="0"/>
                    <w:spacing w:line="240" w:lineRule="auto"/>
                    <w:jc w:val="center"/>
                    <w:rPr>
                      <w:rFonts w:hint="default" w:ascii="Times New Roman" w:hAnsi="Times New Roman"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50</w:t>
                  </w: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eastAsia"/>
                <w:lang w:val="en-US" w:eastAsia="zh-CN"/>
              </w:rPr>
            </w:pPr>
            <w:r>
              <w:rPr>
                <w:rFonts w:hint="default" w:ascii="Times New Roman" w:hAnsi="Times New Roman" w:eastAsia="宋体" w:cs="Times New Roman"/>
                <w:lang w:val="en-US" w:eastAsia="zh-CN"/>
              </w:rPr>
              <w:t>根据预测结果，项目建成运行后，经采取相应的噪声防治措施，项目四周厂界处噪声可满足</w:t>
            </w:r>
            <w:r>
              <w:rPr>
                <w:rFonts w:hint="default" w:ascii="Times New Roman" w:hAnsi="Times New Roman" w:eastAsia="宋体" w:cs="Times New Roman"/>
                <w:color w:val="FF0000"/>
                <w:highlight w:val="none"/>
                <w:lang w:val="en-US" w:eastAsia="zh-CN"/>
              </w:rPr>
              <w:t>《工业企业厂界</w:t>
            </w:r>
            <w:r>
              <w:rPr>
                <w:rFonts w:hint="eastAsia" w:ascii="Times New Roman" w:hAnsi="Times New Roman" w:cs="Times New Roman"/>
                <w:color w:val="FF0000"/>
                <w:highlight w:val="none"/>
                <w:lang w:val="en-US" w:eastAsia="zh-CN"/>
              </w:rPr>
              <w:t>环境</w:t>
            </w:r>
            <w:r>
              <w:rPr>
                <w:rFonts w:hint="default" w:ascii="Times New Roman" w:hAnsi="Times New Roman" w:eastAsia="宋体" w:cs="Times New Roman"/>
                <w:color w:val="FF0000"/>
                <w:highlight w:val="none"/>
                <w:lang w:val="en-US" w:eastAsia="zh-CN"/>
              </w:rPr>
              <w:t>噪声</w:t>
            </w:r>
            <w:r>
              <w:rPr>
                <w:rFonts w:hint="eastAsia" w:ascii="Times New Roman" w:hAnsi="Times New Roman" w:cs="Times New Roman"/>
                <w:color w:val="FF0000"/>
                <w:highlight w:val="none"/>
                <w:lang w:val="en-US" w:eastAsia="zh-CN"/>
              </w:rPr>
              <w:t>排放</w:t>
            </w:r>
            <w:r>
              <w:rPr>
                <w:rFonts w:hint="default" w:ascii="Times New Roman" w:hAnsi="Times New Roman" w:eastAsia="宋体" w:cs="Times New Roman"/>
                <w:color w:val="FF0000"/>
                <w:highlight w:val="none"/>
                <w:lang w:val="en-US" w:eastAsia="zh-CN"/>
              </w:rPr>
              <w:t>标准》</w:t>
            </w:r>
            <w:r>
              <w:rPr>
                <w:rFonts w:hint="default" w:ascii="Times New Roman" w:hAnsi="Times New Roman" w:eastAsia="宋体" w:cs="Times New Roman"/>
                <w:lang w:val="en-US" w:eastAsia="zh-CN"/>
              </w:rPr>
              <w:t>（GB12348-2008）2类标准（昼间60dB（A）、夜间50dB（A））要求，噪声可达标排放</w:t>
            </w:r>
            <w:r>
              <w:rPr>
                <w:rFonts w:hint="default" w:ascii="Times New Roman" w:hAnsi="Times New Roman" w:cs="Times New Roman"/>
                <w:lang w:val="en-US" w:eastAsia="zh-CN"/>
              </w:rPr>
              <w:t>，项目运营期噪声对周围声环境影响较小。</w:t>
            </w:r>
            <w:r>
              <w:rPr>
                <w:rFonts w:hint="default" w:ascii="Times New Roman" w:hAnsi="Times New Roman" w:eastAsia="宋体" w:cs="Times New Roman"/>
                <w:lang w:val="en-US" w:eastAsia="zh-CN"/>
              </w:rPr>
              <w:t>西北侧居民房</w:t>
            </w:r>
            <w:r>
              <w:rPr>
                <w:rFonts w:hint="eastAsia"/>
                <w:lang w:val="en-US" w:eastAsia="zh-CN"/>
              </w:rPr>
              <w:t>处噪声能够满足《声环境质量标准》（GB3096-2008）中2类标准，项目运营期噪声排放对敏感点影响较小。</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（3）噪声防治措施</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①从噪声源头进行控制，降低源强，即在设备选购时尽量采用低噪声设备；</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②所有设备均布置在室内，并采取基础减震措施，风机出口设有消声器等。</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③加强设备的维护，确保设备处于良好的运转状态，杜绝因设备不正常运转时产生的高噪声现象。</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采取以上措施后，项目设备产生的噪声对周边环境影响较小。</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（4）噪声监测计划</w:t>
            </w:r>
          </w:p>
          <w:p>
            <w:pPr>
              <w:pStyle w:val="6"/>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cs="Times New Roman"/>
                <w:lang w:val="en-US" w:eastAsia="zh-CN"/>
              </w:rPr>
            </w:pPr>
            <w:r>
              <w:rPr>
                <w:rFonts w:hint="default" w:ascii="Times New Roman" w:hAnsi="Times New Roman" w:eastAsia="宋体" w:cs="Times New Roman"/>
                <w:lang w:val="en-US" w:eastAsia="zh-CN"/>
              </w:rPr>
              <w:t>根据《排污单位自行监测技术指南 总则》（HJ819-2017）要求，本项目具体监测计划如下：</w:t>
            </w:r>
          </w:p>
          <w:p>
            <w:pPr>
              <w:pStyle w:val="38"/>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表4-</w:t>
            </w:r>
            <w:r>
              <w:rPr>
                <w:rFonts w:hint="eastAsia" w:cs="Times New Roman"/>
                <w:sz w:val="24"/>
                <w:szCs w:val="24"/>
                <w:lang w:val="en-US" w:eastAsia="zh-CN"/>
              </w:rPr>
              <w:t>9</w:t>
            </w:r>
            <w:r>
              <w:rPr>
                <w:rFonts w:hint="default" w:ascii="Times New Roman" w:hAnsi="Times New Roman" w:cs="Times New Roman"/>
                <w:sz w:val="24"/>
                <w:szCs w:val="24"/>
                <w:lang w:val="en-US" w:eastAsia="zh-CN"/>
              </w:rPr>
              <w:t xml:space="preserve"> 环境监测工作内容一览表</w:t>
            </w:r>
          </w:p>
          <w:tbl>
            <w:tblPr>
              <w:tblStyle w:val="24"/>
              <w:tblW w:w="800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336"/>
              <w:gridCol w:w="1378"/>
              <w:gridCol w:w="1459"/>
              <w:gridCol w:w="30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5" w:type="dxa"/>
                  <w:vAlign w:val="center"/>
                </w:tcPr>
                <w:p>
                  <w:pPr>
                    <w:pStyle w:val="39"/>
                    <w:bidi w:val="0"/>
                    <w:jc w:val="center"/>
                    <w:rPr>
                      <w:rFonts w:hint="default" w:ascii="Times New Roman" w:hAnsi="Times New Roman" w:cs="Times New Roman"/>
                      <w:b/>
                      <w:bCs/>
                      <w:lang w:val="en-US" w:eastAsia="zh-CN" w:bidi="ar-SA"/>
                    </w:rPr>
                  </w:pPr>
                  <w:r>
                    <w:rPr>
                      <w:rFonts w:hint="default" w:ascii="Times New Roman" w:hAnsi="Times New Roman" w:cs="Times New Roman"/>
                      <w:b/>
                      <w:bCs/>
                      <w:lang w:val="en-US" w:eastAsia="zh-CN" w:bidi="ar-SA"/>
                    </w:rPr>
                    <w:t>要素</w:t>
                  </w:r>
                </w:p>
              </w:tc>
              <w:tc>
                <w:tcPr>
                  <w:tcW w:w="1336" w:type="dxa"/>
                  <w:vAlign w:val="center"/>
                </w:tcPr>
                <w:p>
                  <w:pPr>
                    <w:pStyle w:val="39"/>
                    <w:bidi w:val="0"/>
                    <w:jc w:val="center"/>
                    <w:rPr>
                      <w:rFonts w:hint="default" w:ascii="Times New Roman" w:hAnsi="Times New Roman" w:cs="Times New Roman"/>
                      <w:b/>
                      <w:bCs/>
                      <w:lang w:val="en-US" w:eastAsia="zh-CN" w:bidi="ar-SA"/>
                    </w:rPr>
                  </w:pPr>
                  <w:r>
                    <w:rPr>
                      <w:rFonts w:hint="default" w:ascii="Times New Roman" w:hAnsi="Times New Roman" w:cs="Times New Roman"/>
                      <w:b/>
                      <w:bCs/>
                      <w:lang w:val="en-US" w:eastAsia="zh-CN" w:bidi="ar-SA"/>
                    </w:rPr>
                    <w:t>监测点位</w:t>
                  </w:r>
                </w:p>
              </w:tc>
              <w:tc>
                <w:tcPr>
                  <w:tcW w:w="1378" w:type="dxa"/>
                  <w:vAlign w:val="center"/>
                </w:tcPr>
                <w:p>
                  <w:pPr>
                    <w:pStyle w:val="39"/>
                    <w:bidi w:val="0"/>
                    <w:jc w:val="center"/>
                    <w:rPr>
                      <w:rFonts w:hint="default" w:ascii="Times New Roman" w:hAnsi="Times New Roman" w:cs="Times New Roman"/>
                      <w:b/>
                      <w:bCs/>
                      <w:lang w:val="en-US" w:eastAsia="zh-CN" w:bidi="ar-SA"/>
                    </w:rPr>
                  </w:pPr>
                  <w:r>
                    <w:rPr>
                      <w:rFonts w:hint="default" w:ascii="Times New Roman" w:hAnsi="Times New Roman" w:cs="Times New Roman"/>
                      <w:b/>
                      <w:bCs/>
                      <w:lang w:val="en-US" w:eastAsia="zh-CN" w:bidi="ar-SA"/>
                    </w:rPr>
                    <w:t>监测项目</w:t>
                  </w:r>
                </w:p>
              </w:tc>
              <w:tc>
                <w:tcPr>
                  <w:tcW w:w="1459" w:type="dxa"/>
                  <w:vAlign w:val="center"/>
                </w:tcPr>
                <w:p>
                  <w:pPr>
                    <w:pStyle w:val="39"/>
                    <w:bidi w:val="0"/>
                    <w:jc w:val="center"/>
                    <w:rPr>
                      <w:rFonts w:hint="default" w:ascii="Times New Roman" w:hAnsi="Times New Roman" w:cs="Times New Roman"/>
                      <w:b/>
                      <w:bCs/>
                      <w:lang w:val="en-US" w:eastAsia="zh-CN" w:bidi="ar-SA"/>
                    </w:rPr>
                  </w:pPr>
                  <w:r>
                    <w:rPr>
                      <w:rFonts w:hint="default" w:ascii="Times New Roman" w:hAnsi="Times New Roman" w:cs="Times New Roman"/>
                      <w:b/>
                      <w:bCs/>
                      <w:lang w:val="en-US" w:eastAsia="zh-CN" w:bidi="ar-SA"/>
                    </w:rPr>
                    <w:t>监测频次</w:t>
                  </w:r>
                </w:p>
              </w:tc>
              <w:tc>
                <w:tcPr>
                  <w:tcW w:w="3030" w:type="dxa"/>
                  <w:vAlign w:val="center"/>
                </w:tcPr>
                <w:p>
                  <w:pPr>
                    <w:pStyle w:val="39"/>
                    <w:bidi w:val="0"/>
                    <w:jc w:val="center"/>
                    <w:rPr>
                      <w:rFonts w:hint="default" w:ascii="Times New Roman" w:hAnsi="Times New Roman" w:cs="Times New Roman"/>
                      <w:b/>
                      <w:bCs/>
                      <w:lang w:val="en-US" w:eastAsia="zh-CN" w:bidi="ar-SA"/>
                    </w:rPr>
                  </w:pPr>
                  <w:r>
                    <w:rPr>
                      <w:rFonts w:hint="default" w:ascii="Times New Roman" w:hAnsi="Times New Roman" w:cs="Times New Roman"/>
                      <w:b/>
                      <w:bCs/>
                      <w:lang w:val="en-US" w:eastAsia="zh-CN" w:bidi="ar-SA"/>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5" w:type="dxa"/>
                  <w:vMerge w:val="restart"/>
                  <w:vAlign w:val="center"/>
                </w:tcPr>
                <w:p>
                  <w:pPr>
                    <w:pStyle w:val="39"/>
                    <w:bidi w:val="0"/>
                    <w:jc w:val="center"/>
                    <w:rPr>
                      <w:rFonts w:hint="default" w:ascii="Times New Roman" w:hAnsi="Times New Roman" w:cs="Times New Roman"/>
                      <w:lang w:val="en-US" w:eastAsia="zh-CN" w:bidi="ar-SA"/>
                    </w:rPr>
                  </w:pPr>
                  <w:r>
                    <w:rPr>
                      <w:rFonts w:hint="default" w:ascii="Times New Roman" w:hAnsi="Times New Roman" w:cs="Times New Roman"/>
                      <w:lang w:val="en-US" w:eastAsia="zh-CN" w:bidi="ar-SA"/>
                    </w:rPr>
                    <w:t>噪声</w:t>
                  </w:r>
                </w:p>
              </w:tc>
              <w:tc>
                <w:tcPr>
                  <w:tcW w:w="1336" w:type="dxa"/>
                  <w:vAlign w:val="center"/>
                </w:tcPr>
                <w:p>
                  <w:pPr>
                    <w:pStyle w:val="39"/>
                    <w:bidi w:val="0"/>
                    <w:jc w:val="center"/>
                    <w:rPr>
                      <w:rFonts w:hint="default" w:ascii="Times New Roman" w:hAnsi="Times New Roman" w:eastAsia="宋体" w:cs="Times New Roman"/>
                      <w:lang w:val="en-US" w:eastAsia="zh-CN" w:bidi="ar-SA"/>
                    </w:rPr>
                  </w:pPr>
                  <w:r>
                    <w:rPr>
                      <w:rFonts w:hint="default" w:ascii="Times New Roman" w:hAnsi="Times New Roman" w:cs="Times New Roman"/>
                      <w:lang w:val="en-US" w:eastAsia="zh-CN" w:bidi="ar-SA"/>
                    </w:rPr>
                    <w:t>厂界四周</w:t>
                  </w:r>
                </w:p>
              </w:tc>
              <w:tc>
                <w:tcPr>
                  <w:tcW w:w="1378" w:type="dxa"/>
                  <w:vMerge w:val="restart"/>
                  <w:vAlign w:val="center"/>
                </w:tcPr>
                <w:p>
                  <w:pPr>
                    <w:pStyle w:val="39"/>
                    <w:bidi w:val="0"/>
                    <w:jc w:val="center"/>
                    <w:rPr>
                      <w:rFonts w:hint="default" w:ascii="Times New Roman" w:hAnsi="Times New Roman" w:cs="Times New Roman"/>
                      <w:lang w:val="en-US" w:eastAsia="zh-CN" w:bidi="ar-SA"/>
                    </w:rPr>
                  </w:pPr>
                  <w:r>
                    <w:rPr>
                      <w:rFonts w:hint="default" w:ascii="Times New Roman" w:hAnsi="Times New Roman" w:cs="Times New Roman"/>
                      <w:color w:val="FF0000"/>
                      <w:highlight w:val="none"/>
                      <w:lang w:val="en-US" w:eastAsia="zh-CN" w:bidi="ar-SA"/>
                    </w:rPr>
                    <w:t>等效连续A声级</w:t>
                  </w:r>
                </w:p>
              </w:tc>
              <w:tc>
                <w:tcPr>
                  <w:tcW w:w="1459" w:type="dxa"/>
                  <w:vMerge w:val="restart"/>
                  <w:vAlign w:val="center"/>
                </w:tcPr>
                <w:p>
                  <w:pPr>
                    <w:pStyle w:val="39"/>
                    <w:bidi w:val="0"/>
                    <w:jc w:val="center"/>
                    <w:rPr>
                      <w:rFonts w:hint="default" w:ascii="Times New Roman" w:hAnsi="Times New Roman" w:cs="Times New Roman"/>
                      <w:lang w:val="en-US" w:eastAsia="zh-CN" w:bidi="ar-SA"/>
                    </w:rPr>
                  </w:pPr>
                  <w:r>
                    <w:rPr>
                      <w:rFonts w:hint="default" w:ascii="Times New Roman" w:hAnsi="Times New Roman" w:cs="Times New Roman"/>
                      <w:lang w:val="en-US" w:eastAsia="zh-CN" w:bidi="ar-SA"/>
                    </w:rPr>
                    <w:t>每季度一次</w:t>
                  </w:r>
                </w:p>
              </w:tc>
              <w:tc>
                <w:tcPr>
                  <w:tcW w:w="3030" w:type="dxa"/>
                  <w:vAlign w:val="center"/>
                </w:tcPr>
                <w:p>
                  <w:pPr>
                    <w:pStyle w:val="39"/>
                    <w:bidi w:val="0"/>
                    <w:jc w:val="center"/>
                    <w:rPr>
                      <w:rFonts w:hint="default" w:ascii="Times New Roman" w:hAnsi="Times New Roman" w:cs="Times New Roman"/>
                      <w:lang w:val="en-US" w:eastAsia="zh-CN" w:bidi="ar-SA"/>
                    </w:rPr>
                  </w:pPr>
                  <w:r>
                    <w:rPr>
                      <w:rFonts w:hint="default" w:ascii="Times New Roman" w:hAnsi="Times New Roman" w:cs="Times New Roman"/>
                      <w:lang w:val="en-US" w:eastAsia="zh-CN" w:bidi="ar-SA"/>
                    </w:rPr>
                    <w:t>《工业企业厂界环境噪声排放标准》(GB12348-2008)2类标准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5" w:type="dxa"/>
                  <w:vMerge w:val="continue"/>
                  <w:vAlign w:val="center"/>
                </w:tcPr>
                <w:p>
                  <w:pPr>
                    <w:pStyle w:val="39"/>
                    <w:bidi w:val="0"/>
                    <w:jc w:val="center"/>
                    <w:rPr>
                      <w:rFonts w:hint="default" w:ascii="Times New Roman" w:hAnsi="Times New Roman" w:cs="Times New Roman"/>
                      <w:lang w:val="en-US" w:eastAsia="zh-CN" w:bidi="ar-SA"/>
                    </w:rPr>
                  </w:pPr>
                </w:p>
              </w:tc>
              <w:tc>
                <w:tcPr>
                  <w:tcW w:w="1336" w:type="dxa"/>
                  <w:vAlign w:val="center"/>
                </w:tcPr>
                <w:p>
                  <w:pPr>
                    <w:pStyle w:val="39"/>
                    <w:bidi w:val="0"/>
                    <w:jc w:val="center"/>
                    <w:rPr>
                      <w:rFonts w:hint="default" w:ascii="Times New Roman" w:hAnsi="Times New Roman" w:cs="Times New Roman"/>
                      <w:color w:val="FF0000"/>
                      <w:highlight w:val="none"/>
                      <w:lang w:val="en-US" w:eastAsia="zh-CN" w:bidi="ar-SA"/>
                    </w:rPr>
                  </w:pPr>
                  <w:r>
                    <w:rPr>
                      <w:rFonts w:hint="default" w:ascii="Times New Roman" w:hAnsi="Times New Roman" w:cs="Times New Roman"/>
                      <w:color w:val="FF0000"/>
                      <w:highlight w:val="none"/>
                      <w:lang w:val="en-US" w:eastAsia="zh-CN" w:bidi="ar-SA"/>
                    </w:rPr>
                    <w:t>西北侧居民房</w:t>
                  </w:r>
                </w:p>
              </w:tc>
              <w:tc>
                <w:tcPr>
                  <w:tcW w:w="1378" w:type="dxa"/>
                  <w:vMerge w:val="continue"/>
                  <w:vAlign w:val="center"/>
                </w:tcPr>
                <w:p>
                  <w:pPr>
                    <w:pStyle w:val="39"/>
                    <w:bidi w:val="0"/>
                    <w:jc w:val="center"/>
                    <w:rPr>
                      <w:rFonts w:hint="default" w:ascii="Times New Roman" w:hAnsi="Times New Roman" w:cs="Times New Roman"/>
                      <w:color w:val="FF0000"/>
                      <w:highlight w:val="none"/>
                      <w:lang w:val="en-US" w:eastAsia="zh-CN" w:bidi="ar-SA"/>
                    </w:rPr>
                  </w:pPr>
                </w:p>
              </w:tc>
              <w:tc>
                <w:tcPr>
                  <w:tcW w:w="1459" w:type="dxa"/>
                  <w:vMerge w:val="continue"/>
                  <w:vAlign w:val="center"/>
                </w:tcPr>
                <w:p>
                  <w:pPr>
                    <w:pStyle w:val="39"/>
                    <w:bidi w:val="0"/>
                    <w:jc w:val="center"/>
                    <w:rPr>
                      <w:rFonts w:hint="default" w:ascii="Times New Roman" w:hAnsi="Times New Roman" w:cs="Times New Roman"/>
                      <w:color w:val="FF0000"/>
                      <w:highlight w:val="none"/>
                      <w:lang w:val="en-US" w:eastAsia="zh-CN" w:bidi="ar-SA"/>
                    </w:rPr>
                  </w:pPr>
                </w:p>
              </w:tc>
              <w:tc>
                <w:tcPr>
                  <w:tcW w:w="3030" w:type="dxa"/>
                  <w:vAlign w:val="center"/>
                </w:tcPr>
                <w:p>
                  <w:pPr>
                    <w:pStyle w:val="39"/>
                    <w:bidi w:val="0"/>
                    <w:jc w:val="center"/>
                    <w:rPr>
                      <w:rFonts w:hint="default" w:ascii="Times New Roman" w:hAnsi="Times New Roman" w:cs="Times New Roman"/>
                      <w:color w:val="FF0000"/>
                      <w:highlight w:val="none"/>
                      <w:lang w:val="en-US" w:eastAsia="zh-CN" w:bidi="ar-SA"/>
                    </w:rPr>
                  </w:pPr>
                  <w:r>
                    <w:rPr>
                      <w:rFonts w:hint="eastAsia"/>
                      <w:color w:val="FF0000"/>
                      <w:highlight w:val="none"/>
                      <w:lang w:val="en-US" w:eastAsia="zh-CN" w:bidi="ar-SA"/>
                    </w:rPr>
                    <w:t>《声环境质量标准》（GB3096-2008）中2类标准</w:t>
                  </w:r>
                </w:p>
              </w:tc>
            </w:tr>
          </w:tbl>
          <w:p>
            <w:pPr>
              <w:keepNext w:val="0"/>
              <w:keepLines w:val="0"/>
              <w:pageBreakBefore w:val="0"/>
              <w:widowControl w:val="0"/>
              <w:kinsoku/>
              <w:wordWrap/>
              <w:overflowPunct/>
              <w:topLinePunct w:val="0"/>
              <w:autoSpaceDE/>
              <w:autoSpaceDN/>
              <w:bidi w:val="0"/>
              <w:adjustRightInd w:val="0"/>
              <w:snapToGrid/>
              <w:spacing w:before="157" w:beforeLines="5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4、固体废物</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本项目产生的固体废物主要为生活垃圾、水煮工序产生的废辅料和煮锅底泥、筛选工序产生的不合格瓜子、除尘灰、</w:t>
            </w:r>
            <w:r>
              <w:rPr>
                <w:rFonts w:hint="eastAsia" w:ascii="Times New Roman" w:hAnsi="Times New Roman" w:cs="Times New Roman"/>
                <w:lang w:val="en-US" w:eastAsia="zh-CN"/>
              </w:rPr>
              <w:t>生物质燃料</w:t>
            </w:r>
            <w:r>
              <w:rPr>
                <w:rFonts w:hint="default" w:ascii="Times New Roman" w:hAnsi="Times New Roman" w:cs="Times New Roman"/>
                <w:lang w:val="en-US" w:eastAsia="zh-CN"/>
              </w:rPr>
              <w:t>灰</w:t>
            </w:r>
            <w:r>
              <w:rPr>
                <w:rFonts w:hint="eastAsia" w:ascii="Times New Roman" w:hAnsi="Times New Roman" w:cs="Times New Roman"/>
                <w:lang w:val="en-US" w:eastAsia="zh-CN"/>
              </w:rPr>
              <w:t>渣</w:t>
            </w:r>
            <w:r>
              <w:rPr>
                <w:rFonts w:hint="default" w:ascii="Times New Roman" w:hAnsi="Times New Roman" w:cs="Times New Roman"/>
                <w:lang w:val="en-US" w:eastAsia="zh-CN"/>
              </w:rPr>
              <w:t>、辣椒精选产生的不合</w:t>
            </w:r>
            <w:r>
              <w:rPr>
                <w:rFonts w:hint="eastAsia" w:ascii="Times New Roman" w:hAnsi="Times New Roman" w:cs="Times New Roman"/>
                <w:lang w:val="en-US" w:eastAsia="zh-CN"/>
              </w:rPr>
              <w:t>格</w:t>
            </w:r>
            <w:r>
              <w:rPr>
                <w:rFonts w:hint="default" w:ascii="Times New Roman" w:hAnsi="Times New Roman" w:cs="Times New Roman"/>
                <w:lang w:val="en-US" w:eastAsia="zh-CN"/>
              </w:rPr>
              <w:t>辣椒、辣椒梗及石子、砂砾等杂质。</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（1）固体废物产生及处理处置情况</w:t>
            </w:r>
          </w:p>
          <w:p>
            <w:pPr>
              <w:pStyle w:val="6"/>
              <w:bidi w:val="0"/>
              <w:rPr>
                <w:rFonts w:hint="default" w:ascii="Times New Roman" w:hAnsi="Times New Roman" w:cs="Times New Roman"/>
                <w:lang w:val="en-US" w:eastAsia="zh-CN"/>
              </w:rPr>
            </w:pPr>
            <w:r>
              <w:rPr>
                <w:rFonts w:hint="default" w:ascii="Times New Roman" w:hAnsi="Times New Roman" w:eastAsia="微软雅黑" w:cs="Times New Roman"/>
                <w:lang w:val="en-US" w:eastAsia="zh-CN"/>
              </w:rPr>
              <w:t>①</w:t>
            </w:r>
            <w:r>
              <w:rPr>
                <w:rFonts w:hint="default" w:ascii="Times New Roman" w:hAnsi="Times New Roman" w:cs="Times New Roman"/>
                <w:lang w:val="en-US" w:eastAsia="zh-CN"/>
              </w:rPr>
              <w:t>生活垃圾</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本项目工作人员20人，产生量按0.5kg/人·d计，则生活垃圾产生量约为10kg/d（1t/a），经垃圾桶收集后，委托环卫部门清运。</w:t>
            </w:r>
          </w:p>
          <w:p>
            <w:pPr>
              <w:pStyle w:val="6"/>
              <w:bidi w:val="0"/>
              <w:rPr>
                <w:rFonts w:hint="default" w:ascii="Times New Roman" w:hAnsi="Times New Roman" w:cs="Times New Roman"/>
                <w:lang w:val="en-US" w:eastAsia="zh-CN"/>
              </w:rPr>
            </w:pPr>
            <w:r>
              <w:rPr>
                <w:rFonts w:hint="default" w:ascii="Times New Roman" w:hAnsi="Times New Roman" w:eastAsia="微软雅黑" w:cs="Times New Roman"/>
                <w:lang w:val="en-US" w:eastAsia="zh-CN"/>
              </w:rPr>
              <w:t>②</w:t>
            </w:r>
            <w:r>
              <w:rPr>
                <w:rFonts w:hint="default" w:ascii="Times New Roman" w:hAnsi="Times New Roman" w:cs="Times New Roman"/>
                <w:lang w:val="en-US" w:eastAsia="zh-CN"/>
              </w:rPr>
              <w:t>水煮工序废辅料和底泥</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本项目水煮锅内的八角、桂皮等辅料和底泥每周</w:t>
            </w:r>
            <w:r>
              <w:rPr>
                <w:rFonts w:hint="default" w:ascii="Times New Roman" w:hAnsi="Times New Roman" w:cs="Times New Roman"/>
                <w:color w:val="auto"/>
                <w:lang w:val="en-US" w:eastAsia="zh-CN"/>
              </w:rPr>
              <w:t>更换一次，类比《郑州圆贵食品炒货有限公司年加工1200吨瓜子建设项目》（</w:t>
            </w:r>
            <w:r>
              <w:rPr>
                <w:rFonts w:hint="eastAsia" w:ascii="Times New Roman" w:hAnsi="Times New Roman" w:cs="Times New Roman"/>
                <w:color w:val="auto"/>
                <w:lang w:val="en-US" w:eastAsia="zh-CN"/>
              </w:rPr>
              <w:t>生产工艺、原辅料与本项目一致，已于2018年投产</w:t>
            </w:r>
            <w:r>
              <w:rPr>
                <w:rFonts w:hint="default" w:ascii="Times New Roman" w:hAnsi="Times New Roman" w:cs="Times New Roman"/>
                <w:color w:val="auto"/>
                <w:lang w:val="en-US" w:eastAsia="zh-CN"/>
              </w:rPr>
              <w:t>）</w:t>
            </w:r>
            <w:r>
              <w:rPr>
                <w:rFonts w:hint="default" w:ascii="Times New Roman" w:hAnsi="Times New Roman" w:cs="Times New Roman"/>
                <w:color w:val="FF0000"/>
                <w:highlight w:val="none"/>
                <w:lang w:val="en-US" w:eastAsia="zh-CN"/>
              </w:rPr>
              <w:t>，</w:t>
            </w:r>
            <w:r>
              <w:rPr>
                <w:rFonts w:hint="eastAsia"/>
                <w:color w:val="FF0000"/>
                <w:highlight w:val="none"/>
                <w:lang w:val="en-US" w:eastAsia="zh-CN"/>
              </w:rPr>
              <w:t>每生产1吨多味瓜子，产生</w:t>
            </w:r>
            <w:r>
              <w:rPr>
                <w:rFonts w:hint="default" w:ascii="Times New Roman" w:hAnsi="Times New Roman" w:cs="Times New Roman"/>
                <w:color w:val="FF0000"/>
                <w:highlight w:val="none"/>
                <w:lang w:val="en-US" w:eastAsia="zh-CN"/>
              </w:rPr>
              <w:t>水煮工序废辅料和底泥</w:t>
            </w:r>
            <w:r>
              <w:rPr>
                <w:rFonts w:hint="eastAsia" w:ascii="Times New Roman" w:hAnsi="Times New Roman" w:cs="Times New Roman"/>
                <w:color w:val="FF0000"/>
                <w:highlight w:val="none"/>
                <w:lang w:val="en-US" w:eastAsia="zh-CN"/>
              </w:rPr>
              <w:t>1.20kg,本项目年产</w:t>
            </w:r>
            <w:r>
              <w:rPr>
                <w:rFonts w:hint="eastAsia"/>
                <w:color w:val="FF0000"/>
                <w:highlight w:val="none"/>
                <w:lang w:val="en-US" w:eastAsia="zh-CN"/>
              </w:rPr>
              <w:t>多味瓜子2600t，则项目</w:t>
            </w:r>
            <w:r>
              <w:rPr>
                <w:rFonts w:hint="default" w:ascii="Times New Roman" w:hAnsi="Times New Roman" w:cs="Times New Roman"/>
                <w:color w:val="FF0000"/>
                <w:highlight w:val="none"/>
                <w:lang w:val="en-US" w:eastAsia="zh-CN"/>
              </w:rPr>
              <w:t>水煮工序废辅料和底泥产生量共计</w:t>
            </w:r>
            <w:r>
              <w:rPr>
                <w:rFonts w:hint="eastAsia" w:ascii="Times New Roman" w:hAnsi="Times New Roman" w:cs="Times New Roman"/>
                <w:color w:val="FF0000"/>
                <w:highlight w:val="none"/>
                <w:lang w:val="en-US" w:eastAsia="zh-CN"/>
              </w:rPr>
              <w:t>3.12</w:t>
            </w:r>
            <w:r>
              <w:rPr>
                <w:rFonts w:hint="default" w:ascii="Times New Roman" w:hAnsi="Times New Roman" w:cs="Times New Roman"/>
                <w:color w:val="FF0000"/>
                <w:highlight w:val="none"/>
                <w:lang w:val="en-US" w:eastAsia="zh-CN"/>
              </w:rPr>
              <w:t>t/a，</w:t>
            </w:r>
            <w:r>
              <w:rPr>
                <w:rFonts w:hint="default" w:ascii="Times New Roman" w:hAnsi="Times New Roman" w:cs="Times New Roman"/>
                <w:lang w:val="en-US" w:eastAsia="zh-CN"/>
              </w:rPr>
              <w:t>收集后</w:t>
            </w:r>
            <w:r>
              <w:rPr>
                <w:rFonts w:hint="default" w:ascii="Times New Roman" w:hAnsi="Times New Roman" w:cs="Times New Roman"/>
                <w:color w:val="auto"/>
                <w:lang w:val="en-US" w:eastAsia="zh-CN"/>
              </w:rPr>
              <w:t>委托环卫部门</w:t>
            </w:r>
            <w:r>
              <w:rPr>
                <w:rFonts w:hint="default" w:ascii="Times New Roman" w:hAnsi="Times New Roman" w:cs="Times New Roman"/>
                <w:lang w:val="en-US" w:eastAsia="zh-CN"/>
              </w:rPr>
              <w:t>清运。</w:t>
            </w:r>
          </w:p>
          <w:p>
            <w:pPr>
              <w:pStyle w:val="6"/>
              <w:bidi w:val="0"/>
              <w:rPr>
                <w:rFonts w:hint="default" w:ascii="Times New Roman" w:hAnsi="Times New Roman" w:cs="Times New Roman"/>
                <w:lang w:val="en-US" w:eastAsia="zh-CN"/>
              </w:rPr>
            </w:pPr>
            <w:r>
              <w:rPr>
                <w:rFonts w:hint="default" w:ascii="Times New Roman" w:hAnsi="Times New Roman" w:eastAsia="微软雅黑" w:cs="Times New Roman"/>
                <w:lang w:val="en-US" w:eastAsia="zh-CN"/>
              </w:rPr>
              <w:t>③</w:t>
            </w:r>
            <w:r>
              <w:rPr>
                <w:rFonts w:hint="default" w:ascii="Times New Roman" w:hAnsi="Times New Roman" w:cs="Times New Roman"/>
                <w:lang w:val="en-US" w:eastAsia="zh-CN"/>
              </w:rPr>
              <w:t>不合格瓜子</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外购瓜子中存在的一定的干瘪瓜子和杂质，筛选工序通过设备机械作用将其分离，不合格</w:t>
            </w:r>
            <w:r>
              <w:rPr>
                <w:rFonts w:hint="eastAsia" w:ascii="Times New Roman" w:hAnsi="Times New Roman" w:cs="Times New Roman"/>
                <w:lang w:val="en-US" w:eastAsia="zh-CN"/>
              </w:rPr>
              <w:t>瓜子</w:t>
            </w:r>
            <w:r>
              <w:rPr>
                <w:rFonts w:hint="default" w:ascii="Times New Roman" w:hAnsi="Times New Roman" w:cs="Times New Roman"/>
                <w:lang w:val="en-US" w:eastAsia="zh-CN"/>
              </w:rPr>
              <w:t>产生量约为原料的1.5%，故产生量为</w:t>
            </w:r>
            <w:r>
              <w:rPr>
                <w:rFonts w:hint="eastAsia" w:ascii="Times New Roman" w:hAnsi="Times New Roman" w:cs="Times New Roman"/>
                <w:lang w:val="en-US" w:eastAsia="zh-CN"/>
              </w:rPr>
              <w:t>51</w:t>
            </w:r>
            <w:r>
              <w:rPr>
                <w:rFonts w:hint="default" w:ascii="Times New Roman" w:hAnsi="Times New Roman" w:cs="Times New Roman"/>
                <w:lang w:val="en-US" w:eastAsia="zh-CN"/>
              </w:rPr>
              <w:t>t/a，收集后用作水煮工序燃料。</w:t>
            </w:r>
          </w:p>
          <w:p>
            <w:pPr>
              <w:pStyle w:val="6"/>
              <w:bidi w:val="0"/>
              <w:rPr>
                <w:rFonts w:hint="default" w:ascii="Times New Roman" w:hAnsi="Times New Roman" w:cs="Times New Roman"/>
                <w:lang w:val="en-US" w:eastAsia="zh-CN"/>
              </w:rPr>
            </w:pPr>
            <w:r>
              <w:rPr>
                <w:rFonts w:hint="default" w:ascii="Times New Roman" w:hAnsi="Times New Roman" w:eastAsia="微软雅黑" w:cs="Times New Roman"/>
                <w:lang w:val="en-US" w:eastAsia="zh-CN"/>
              </w:rPr>
              <w:t>④</w:t>
            </w:r>
            <w:r>
              <w:rPr>
                <w:rFonts w:hint="default" w:ascii="Times New Roman" w:hAnsi="Times New Roman" w:cs="Times New Roman"/>
                <w:lang w:val="en-US" w:eastAsia="zh-CN"/>
              </w:rPr>
              <w:t>除尘灰</w:t>
            </w:r>
          </w:p>
          <w:p>
            <w:pPr>
              <w:pStyle w:val="6"/>
              <w:bidi w:val="0"/>
              <w:rPr>
                <w:rFonts w:hint="default" w:ascii="Times New Roman" w:hAnsi="Times New Roman" w:cs="Times New Roman"/>
                <w:color w:val="FF0000"/>
                <w:highlight w:val="none"/>
                <w:lang w:val="en-US" w:eastAsia="zh-CN"/>
              </w:rPr>
            </w:pPr>
            <w:r>
              <w:rPr>
                <w:rFonts w:hint="default" w:ascii="Times New Roman" w:hAnsi="Times New Roman" w:cs="Times New Roman"/>
                <w:lang w:val="en-US" w:eastAsia="zh-CN"/>
              </w:rPr>
              <w:t>本项目水煮、烘干</w:t>
            </w:r>
            <w:r>
              <w:rPr>
                <w:rFonts w:hint="eastAsia" w:ascii="Times New Roman" w:hAnsi="Times New Roman" w:cs="Times New Roman"/>
                <w:lang w:val="en-US" w:eastAsia="zh-CN"/>
              </w:rPr>
              <w:t>、炒制</w:t>
            </w:r>
            <w:r>
              <w:rPr>
                <w:rFonts w:hint="default" w:ascii="Times New Roman" w:hAnsi="Times New Roman" w:cs="Times New Roman"/>
                <w:lang w:val="en-US" w:eastAsia="zh-CN"/>
              </w:rPr>
              <w:t>工序</w:t>
            </w:r>
            <w:r>
              <w:rPr>
                <w:rFonts w:hint="eastAsia" w:ascii="Times New Roman" w:hAnsi="Times New Roman" w:cs="Times New Roman"/>
                <w:lang w:val="en-US" w:eastAsia="zh-CN"/>
              </w:rPr>
              <w:t>生物质燃料燃烧废气通过</w:t>
            </w:r>
            <w:r>
              <w:rPr>
                <w:rFonts w:hint="default" w:ascii="Times New Roman" w:hAnsi="Times New Roman" w:cs="Times New Roman"/>
                <w:lang w:val="en-US" w:eastAsia="zh-CN"/>
              </w:rPr>
              <w:t>1台布袋除尘器</w:t>
            </w:r>
            <w:r>
              <w:rPr>
                <w:rFonts w:hint="eastAsia" w:ascii="Times New Roman" w:hAnsi="Times New Roman" w:cs="Times New Roman"/>
                <w:lang w:val="en-US" w:eastAsia="zh-CN"/>
              </w:rPr>
              <w:t>处理</w:t>
            </w:r>
            <w:r>
              <w:rPr>
                <w:rFonts w:hint="default" w:ascii="Times New Roman" w:hAnsi="Times New Roman" w:cs="Times New Roman"/>
                <w:lang w:val="en-US" w:eastAsia="zh-CN"/>
              </w:rPr>
              <w:t>，筛选工序</w:t>
            </w:r>
            <w:r>
              <w:rPr>
                <w:rFonts w:hint="eastAsia" w:ascii="Times New Roman" w:hAnsi="Times New Roman" w:cs="Times New Roman"/>
                <w:lang w:val="en-US" w:eastAsia="zh-CN"/>
              </w:rPr>
              <w:t>废气通过自带收尘装置收集，</w:t>
            </w:r>
            <w:r>
              <w:rPr>
                <w:rFonts w:hint="default" w:ascii="Times New Roman" w:hAnsi="Times New Roman" w:cs="Times New Roman"/>
                <w:lang w:val="en-US" w:eastAsia="zh-CN"/>
              </w:rPr>
              <w:t>收集的除尘灰量</w:t>
            </w:r>
            <w:r>
              <w:rPr>
                <w:rFonts w:hint="default" w:ascii="Times New Roman" w:hAnsi="Times New Roman" w:cs="Times New Roman"/>
                <w:highlight w:val="none"/>
                <w:lang w:val="en-US" w:eastAsia="zh-CN"/>
              </w:rPr>
              <w:t>为0.</w:t>
            </w:r>
            <w:r>
              <w:rPr>
                <w:rFonts w:hint="eastAsia" w:ascii="Times New Roman" w:hAnsi="Times New Roman" w:cs="Times New Roman"/>
                <w:highlight w:val="none"/>
                <w:lang w:val="en-US" w:eastAsia="zh-CN"/>
              </w:rPr>
              <w:t>72</w:t>
            </w:r>
            <w:r>
              <w:rPr>
                <w:rFonts w:hint="default" w:ascii="Times New Roman" w:hAnsi="Times New Roman" w:cs="Times New Roman"/>
                <w:highlight w:val="none"/>
                <w:lang w:val="en-US" w:eastAsia="zh-CN"/>
              </w:rPr>
              <w:t>t/a</w:t>
            </w:r>
            <w:r>
              <w:rPr>
                <w:rFonts w:hint="default" w:ascii="Times New Roman" w:hAnsi="Times New Roman" w:cs="Times New Roman"/>
                <w:color w:val="FF0000"/>
                <w:highlight w:val="none"/>
                <w:lang w:val="en-US" w:eastAsia="zh-CN"/>
              </w:rPr>
              <w:t>，外售有机肥厂制作肥料。</w:t>
            </w:r>
          </w:p>
          <w:p>
            <w:pPr>
              <w:pStyle w:val="6"/>
              <w:bidi w:val="0"/>
              <w:rPr>
                <w:rFonts w:hint="default" w:ascii="Times New Roman" w:hAnsi="Times New Roman" w:cs="Times New Roman"/>
                <w:lang w:val="en-US" w:eastAsia="zh-CN"/>
              </w:rPr>
            </w:pPr>
            <w:r>
              <w:rPr>
                <w:rFonts w:hint="default" w:ascii="Times New Roman" w:hAnsi="Times New Roman" w:eastAsia="微软雅黑" w:cs="Times New Roman"/>
                <w:lang w:val="en-US" w:eastAsia="zh-CN"/>
              </w:rPr>
              <w:t>⑤</w:t>
            </w:r>
            <w:r>
              <w:rPr>
                <w:rFonts w:hint="default" w:ascii="Times New Roman" w:hAnsi="Times New Roman" w:cs="Times New Roman"/>
                <w:lang w:val="en-US" w:eastAsia="zh-CN"/>
              </w:rPr>
              <w:t>不合格辣椒、辣椒梗及石子、砂砾等杂质</w:t>
            </w:r>
          </w:p>
          <w:p>
            <w:pPr>
              <w:pStyle w:val="6"/>
              <w:bidi w:val="0"/>
              <w:rPr>
                <w:rFonts w:hint="default" w:ascii="Times New Roman" w:hAnsi="Times New Roman" w:eastAsia="微软雅黑" w:cs="Times New Roman"/>
                <w:lang w:val="en-US" w:eastAsia="zh-CN"/>
              </w:rPr>
            </w:pPr>
            <w:r>
              <w:rPr>
                <w:rFonts w:hint="default" w:ascii="Times New Roman" w:hAnsi="Times New Roman" w:cs="Times New Roman"/>
                <w:lang w:val="en-US" w:eastAsia="zh-CN"/>
              </w:rPr>
              <w:t>本项目辣椒加工过程中在筛选过程中会产生不合格辣椒</w:t>
            </w:r>
            <w:r>
              <w:rPr>
                <w:rFonts w:hint="eastAsia" w:ascii="Times New Roman" w:hAnsi="Times New Roman" w:cs="Times New Roman"/>
                <w:lang w:val="en-US" w:eastAsia="zh-CN"/>
              </w:rPr>
              <w:t>、</w:t>
            </w:r>
            <w:r>
              <w:rPr>
                <w:rFonts w:hint="default" w:ascii="Times New Roman" w:hAnsi="Times New Roman" w:cs="Times New Roman"/>
                <w:lang w:val="en-US" w:eastAsia="zh-CN"/>
              </w:rPr>
              <w:t>杂质（土块、石块、枝叶等）</w:t>
            </w:r>
            <w:r>
              <w:rPr>
                <w:rFonts w:hint="eastAsia" w:ascii="Times New Roman" w:hAnsi="Times New Roman" w:cs="Times New Roman"/>
                <w:lang w:val="en-US" w:eastAsia="zh-CN"/>
              </w:rPr>
              <w:t>，</w:t>
            </w:r>
            <w:r>
              <w:rPr>
                <w:rFonts w:hint="default" w:ascii="Times New Roman" w:hAnsi="Times New Roman" w:cs="Times New Roman"/>
                <w:lang w:val="en-US" w:eastAsia="zh-CN"/>
              </w:rPr>
              <w:t>剪把过程中产生的辣椒梗，属于一般固废，产生量约为</w:t>
            </w:r>
            <w:r>
              <w:rPr>
                <w:rFonts w:hint="eastAsia" w:ascii="Times New Roman" w:hAnsi="Times New Roman" w:cs="Times New Roman"/>
                <w:lang w:val="en-US" w:eastAsia="zh-CN"/>
              </w:rPr>
              <w:t>0.90</w:t>
            </w:r>
            <w:r>
              <w:rPr>
                <w:rFonts w:hint="default" w:ascii="Times New Roman" w:hAnsi="Times New Roman" w:cs="Times New Roman"/>
                <w:lang w:val="en-US" w:eastAsia="zh-CN"/>
              </w:rPr>
              <w:t>t/a，集中收集后由环卫部门外运处理。</w:t>
            </w:r>
          </w:p>
          <w:p>
            <w:pPr>
              <w:pStyle w:val="6"/>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⑥生物质</w:t>
            </w:r>
            <w:r>
              <w:rPr>
                <w:rFonts w:hint="eastAsia" w:ascii="Times New Roman" w:hAnsi="Times New Roman" w:cs="Times New Roman"/>
                <w:color w:val="FF0000"/>
                <w:highlight w:val="none"/>
                <w:lang w:val="en-US" w:eastAsia="zh-CN"/>
              </w:rPr>
              <w:t>燃料</w:t>
            </w:r>
            <w:r>
              <w:rPr>
                <w:rFonts w:hint="default" w:ascii="Times New Roman" w:hAnsi="Times New Roman" w:cs="Times New Roman"/>
                <w:color w:val="FF0000"/>
                <w:highlight w:val="none"/>
                <w:lang w:val="en-US" w:eastAsia="zh-CN"/>
              </w:rPr>
              <w:t>灰</w:t>
            </w:r>
            <w:r>
              <w:rPr>
                <w:rFonts w:hint="eastAsia" w:ascii="Times New Roman" w:hAnsi="Times New Roman" w:cs="Times New Roman"/>
                <w:color w:val="FF0000"/>
                <w:highlight w:val="none"/>
                <w:lang w:val="en-US" w:eastAsia="zh-CN"/>
              </w:rPr>
              <w:t>渣</w:t>
            </w:r>
          </w:p>
          <w:p>
            <w:pPr>
              <w:pStyle w:val="6"/>
              <w:bidi w:val="0"/>
              <w:rPr>
                <w:rFonts w:hint="default" w:ascii="Times New Roman" w:hAnsi="Times New Roman" w:cs="Times New Roman"/>
                <w:lang w:val="en-US" w:eastAsia="zh-CN"/>
              </w:rPr>
            </w:pPr>
            <w:r>
              <w:rPr>
                <w:rFonts w:hint="eastAsia" w:ascii="Times New Roman" w:hAnsi="Times New Roman" w:cs="Times New Roman"/>
                <w:lang w:val="en-US" w:eastAsia="zh-CN"/>
              </w:rPr>
              <w:t>参照</w:t>
            </w:r>
            <w:r>
              <w:rPr>
                <w:rFonts w:hint="default" w:ascii="Times New Roman" w:hAnsi="Times New Roman" w:cs="Times New Roman"/>
                <w:lang w:val="en-US" w:eastAsia="zh-CN"/>
              </w:rPr>
              <w:t>《污染源源强核算技术指南 锅炉》（HJ991-2018）产污系数法进行计算，公式如下：</w:t>
            </w:r>
          </w:p>
          <w:p>
            <w:pPr>
              <w:pStyle w:val="6"/>
              <w:bidi w:val="0"/>
              <w:spacing w:line="240" w:lineRule="auto"/>
              <w:ind w:left="0" w:leftChars="0" w:firstLine="0" w:firstLineChars="0"/>
              <w:rPr>
                <w:rFonts w:hint="default" w:ascii="Times New Roman" w:hAnsi="Times New Roman" w:cs="Times New Roman"/>
                <w:lang w:val="en-US" w:eastAsia="zh-CN"/>
              </w:rPr>
            </w:pPr>
            <w:r>
              <w:rPr>
                <w:rFonts w:hint="default" w:ascii="Times New Roman" w:hAnsi="Times New Roman" w:eastAsia="宋体" w:cs="Times New Roman"/>
                <w:color w:val="auto"/>
                <w:sz w:val="24"/>
                <w:szCs w:val="24"/>
                <w:highlight w:val="none"/>
              </w:rPr>
              <w:drawing>
                <wp:inline distT="0" distB="0" distL="114300" distR="114300">
                  <wp:extent cx="5036820" cy="1774190"/>
                  <wp:effectExtent l="0" t="0" r="11430" b="16510"/>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19"/>
                          <a:stretch>
                            <a:fillRect/>
                          </a:stretch>
                        </pic:blipFill>
                        <pic:spPr>
                          <a:xfrm>
                            <a:off x="0" y="0"/>
                            <a:ext cx="5036820" cy="1774190"/>
                          </a:xfrm>
                          <a:prstGeom prst="rect">
                            <a:avLst/>
                          </a:prstGeom>
                          <a:noFill/>
                          <a:ln>
                            <a:noFill/>
                          </a:ln>
                        </pic:spPr>
                      </pic:pic>
                    </a:graphicData>
                  </a:graphic>
                </wp:inline>
              </w:drawing>
            </w:r>
          </w:p>
          <w:p>
            <w:pPr>
              <w:pStyle w:val="6"/>
              <w:bidi w:val="0"/>
              <w:rPr>
                <w:rFonts w:hint="default" w:ascii="Times New Roman" w:hAnsi="Times New Roman" w:cs="Times New Roman"/>
                <w:color w:val="FF0000"/>
                <w:highlight w:val="none"/>
                <w:lang w:val="en-US" w:eastAsia="zh-CN"/>
              </w:rPr>
            </w:pPr>
            <w:r>
              <w:rPr>
                <w:rFonts w:hint="default" w:ascii="Times New Roman" w:hAnsi="Times New Roman" w:cs="Times New Roman"/>
                <w:lang w:val="en-US" w:eastAsia="zh-CN"/>
              </w:rPr>
              <w:t>本项目成型生物质燃料消耗总量为</w:t>
            </w:r>
            <w:r>
              <w:rPr>
                <w:rFonts w:hint="eastAsia" w:ascii="Times New Roman" w:hAnsi="Times New Roman" w:cs="Times New Roman"/>
                <w:lang w:val="en-US" w:eastAsia="zh-CN"/>
              </w:rPr>
              <w:t>990</w:t>
            </w:r>
            <w:r>
              <w:rPr>
                <w:rFonts w:hint="default" w:ascii="Times New Roman" w:hAnsi="Times New Roman" w:cs="Times New Roman"/>
                <w:lang w:val="en-US" w:eastAsia="zh-CN"/>
              </w:rPr>
              <w:t>t/a，生物质燃料收到基灰分为</w:t>
            </w:r>
            <w:r>
              <w:rPr>
                <w:rFonts w:hint="eastAsia" w:ascii="Times New Roman" w:hAnsi="Times New Roman" w:cs="Times New Roman"/>
                <w:color w:val="FF0000"/>
                <w:highlight w:val="none"/>
                <w:lang w:val="en-US" w:eastAsia="zh-CN"/>
              </w:rPr>
              <w:t>2.02</w:t>
            </w:r>
            <w:r>
              <w:rPr>
                <w:rFonts w:hint="default" w:ascii="Times New Roman" w:hAnsi="Times New Roman" w:cs="Times New Roman"/>
                <w:color w:val="FF0000"/>
                <w:highlight w:val="none"/>
                <w:lang w:val="en-US" w:eastAsia="zh-CN"/>
              </w:rPr>
              <w:t>%</w:t>
            </w:r>
            <w:r>
              <w:rPr>
                <w:rFonts w:hint="default" w:ascii="Times New Roman" w:hAnsi="Times New Roman" w:cs="Times New Roman"/>
                <w:lang w:val="en-US" w:eastAsia="zh-CN"/>
              </w:rPr>
              <w:t>；</w:t>
            </w:r>
            <w:r>
              <w:rPr>
                <w:rFonts w:hint="eastAsia" w:ascii="Times New Roman" w:hAnsi="Times New Roman" w:cs="Times New Roman"/>
                <w:lang w:val="en-US" w:eastAsia="zh-CN"/>
              </w:rPr>
              <w:t>参照</w:t>
            </w:r>
            <w:r>
              <w:rPr>
                <w:rFonts w:hint="default" w:ascii="Times New Roman" w:hAnsi="Times New Roman" w:cs="Times New Roman"/>
                <w:lang w:val="en-US" w:eastAsia="zh-CN"/>
              </w:rPr>
              <w:t>《污染源源强核算技术指南 锅炉》（HJ991-2018）表B.1锅炉机械不完全燃烧热损失的一般取值5~15%，本次评价取10%；生物质燃料收到基低位发热量</w:t>
            </w:r>
            <w:r>
              <w:rPr>
                <w:rFonts w:hint="default" w:ascii="Times New Roman" w:hAnsi="Times New Roman" w:cs="Times New Roman"/>
                <w:color w:val="FF0000"/>
                <w:highlight w:val="none"/>
                <w:lang w:val="en-US" w:eastAsia="zh-CN"/>
              </w:rPr>
              <w:t>为</w:t>
            </w:r>
            <w:r>
              <w:rPr>
                <w:rFonts w:hint="eastAsia" w:ascii="Times New Roman" w:hAnsi="Times New Roman" w:cs="Times New Roman"/>
                <w:color w:val="FF0000"/>
                <w:highlight w:val="none"/>
                <w:lang w:val="en-US" w:eastAsia="zh-CN"/>
              </w:rPr>
              <w:t>16.81</w:t>
            </w:r>
            <w:r>
              <w:rPr>
                <w:rFonts w:hint="default" w:ascii="Times New Roman" w:hAnsi="Times New Roman" w:cs="Times New Roman"/>
                <w:color w:val="FF0000"/>
                <w:highlight w:val="none"/>
                <w:lang w:val="en-US" w:eastAsia="zh-CN"/>
              </w:rPr>
              <w:t>MJ/kg。</w:t>
            </w:r>
          </w:p>
          <w:p>
            <w:pPr>
              <w:pStyle w:val="6"/>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则Ehz=990×[</w:t>
            </w:r>
            <w:r>
              <w:rPr>
                <w:rFonts w:hint="eastAsia" w:ascii="Times New Roman" w:hAnsi="Times New Roman" w:cs="Times New Roman"/>
                <w:color w:val="FF0000"/>
                <w:highlight w:val="none"/>
                <w:lang w:val="en-US" w:eastAsia="zh-CN"/>
              </w:rPr>
              <w:t>2.02</w:t>
            </w:r>
            <w:r>
              <w:rPr>
                <w:rFonts w:hint="default" w:ascii="Times New Roman" w:hAnsi="Times New Roman" w:cs="Times New Roman"/>
                <w:color w:val="FF0000"/>
                <w:highlight w:val="none"/>
                <w:lang w:val="en-US" w:eastAsia="zh-CN"/>
              </w:rPr>
              <w:t>/100+（10×</w:t>
            </w:r>
            <w:r>
              <w:rPr>
                <w:rFonts w:hint="eastAsia" w:ascii="Times New Roman" w:hAnsi="Times New Roman" w:cs="Times New Roman"/>
                <w:color w:val="FF0000"/>
                <w:highlight w:val="none"/>
                <w:lang w:val="en-US" w:eastAsia="zh-CN"/>
              </w:rPr>
              <w:t>16.81</w:t>
            </w:r>
            <w:r>
              <w:rPr>
                <w:rFonts w:hint="default" w:ascii="Times New Roman" w:hAnsi="Times New Roman" w:cs="Times New Roman"/>
                <w:color w:val="FF0000"/>
                <w:highlight w:val="none"/>
                <w:lang w:val="en-US" w:eastAsia="zh-CN"/>
              </w:rPr>
              <w:t>×10</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lang w:val="en-US" w:eastAsia="zh-CN"/>
              </w:rPr>
              <w:t>）/（100×33870）]=</w:t>
            </w:r>
            <w:r>
              <w:rPr>
                <w:rFonts w:hint="eastAsia" w:ascii="Times New Roman" w:hAnsi="Times New Roman" w:cs="Times New Roman"/>
                <w:color w:val="FF0000"/>
                <w:highlight w:val="none"/>
                <w:lang w:val="en-US" w:eastAsia="zh-CN"/>
              </w:rPr>
              <w:t>69.13</w:t>
            </w:r>
            <w:r>
              <w:rPr>
                <w:rFonts w:hint="default" w:ascii="Times New Roman" w:hAnsi="Times New Roman" w:cs="Times New Roman"/>
                <w:color w:val="FF0000"/>
                <w:highlight w:val="none"/>
                <w:lang w:val="en-US" w:eastAsia="zh-CN"/>
              </w:rPr>
              <w:t>t/a</w:t>
            </w:r>
          </w:p>
          <w:p>
            <w:pPr>
              <w:pStyle w:val="6"/>
              <w:bidi w:val="0"/>
              <w:rPr>
                <w:rFonts w:hint="default" w:ascii="Times New Roman" w:hAnsi="Times New Roman" w:cs="Times New Roman"/>
                <w:lang w:val="en-US" w:eastAsia="zh-CN"/>
              </w:rPr>
            </w:pPr>
            <w:r>
              <w:rPr>
                <w:rFonts w:hint="default" w:ascii="Times New Roman" w:hAnsi="Times New Roman" w:cs="Times New Roman"/>
                <w:color w:val="FF0000"/>
                <w:highlight w:val="none"/>
                <w:lang w:val="en-US" w:eastAsia="zh-CN"/>
              </w:rPr>
              <w:t>生物质</w:t>
            </w:r>
            <w:r>
              <w:rPr>
                <w:rFonts w:hint="eastAsia" w:ascii="Times New Roman" w:hAnsi="Times New Roman" w:cs="Times New Roman"/>
                <w:color w:val="FF0000"/>
                <w:highlight w:val="none"/>
                <w:lang w:val="en-US" w:eastAsia="zh-CN"/>
              </w:rPr>
              <w:t>燃料灰渣</w:t>
            </w:r>
            <w:r>
              <w:rPr>
                <w:rFonts w:hint="default" w:ascii="Times New Roman" w:hAnsi="Times New Roman" w:cs="Times New Roman"/>
                <w:color w:val="FF0000"/>
                <w:highlight w:val="none"/>
                <w:lang w:val="en-US" w:eastAsia="zh-CN"/>
              </w:rPr>
              <w:t>暂存</w:t>
            </w:r>
            <w:r>
              <w:rPr>
                <w:rFonts w:hint="default" w:ascii="Times New Roman" w:hAnsi="Times New Roman" w:eastAsia="宋体" w:cs="Times New Roman"/>
                <w:color w:val="FF0000"/>
                <w:sz w:val="24"/>
                <w:szCs w:val="24"/>
                <w:highlight w:val="none"/>
                <w:lang w:eastAsia="zh-CN"/>
              </w:rPr>
              <w:t>于全封闭</w:t>
            </w:r>
            <w:r>
              <w:rPr>
                <w:rFonts w:hint="eastAsia" w:ascii="Times New Roman" w:hAnsi="Times New Roman" w:eastAsia="宋体" w:cs="Times New Roman"/>
                <w:color w:val="FF0000"/>
                <w:sz w:val="24"/>
                <w:szCs w:val="24"/>
                <w:highlight w:val="none"/>
                <w:lang w:eastAsia="zh-CN"/>
              </w:rPr>
              <w:t>炉灰</w:t>
            </w:r>
            <w:r>
              <w:rPr>
                <w:rFonts w:hint="default" w:ascii="Times New Roman" w:hAnsi="Times New Roman" w:eastAsia="宋体" w:cs="Times New Roman"/>
                <w:color w:val="FF0000"/>
                <w:sz w:val="24"/>
                <w:szCs w:val="24"/>
                <w:highlight w:val="none"/>
                <w:lang w:eastAsia="zh-CN"/>
              </w:rPr>
              <w:t>库内</w:t>
            </w:r>
            <w:r>
              <w:rPr>
                <w:rFonts w:hint="default" w:ascii="Times New Roman" w:hAnsi="Times New Roman" w:cs="Times New Roman"/>
                <w:highlight w:val="none"/>
                <w:lang w:val="en-US" w:eastAsia="zh-CN"/>
              </w:rPr>
              <w:t>，</w:t>
            </w:r>
            <w:r>
              <w:rPr>
                <w:rFonts w:hint="default" w:ascii="Times New Roman" w:hAnsi="Times New Roman" w:cs="Times New Roman"/>
                <w:lang w:val="en-US" w:eastAsia="zh-CN"/>
              </w:rPr>
              <w:t>外售有机肥厂制作肥料。</w:t>
            </w:r>
          </w:p>
          <w:p>
            <w:pPr>
              <w:pStyle w:val="6"/>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生物质</w:t>
            </w:r>
            <w:r>
              <w:rPr>
                <w:rFonts w:hint="eastAsia" w:ascii="Times New Roman" w:hAnsi="Times New Roman" w:eastAsia="宋体" w:cs="Times New Roman"/>
                <w:b/>
                <w:bCs/>
                <w:lang w:val="en-US" w:eastAsia="zh-CN"/>
              </w:rPr>
              <w:t>燃料</w:t>
            </w:r>
            <w:r>
              <w:rPr>
                <w:rFonts w:hint="default" w:ascii="Times New Roman" w:hAnsi="Times New Roman" w:eastAsia="宋体" w:cs="Times New Roman"/>
                <w:b/>
                <w:bCs/>
                <w:lang w:val="en-US" w:eastAsia="zh-CN"/>
              </w:rPr>
              <w:t>灰</w:t>
            </w:r>
            <w:r>
              <w:rPr>
                <w:rFonts w:hint="eastAsia" w:ascii="Times New Roman" w:hAnsi="Times New Roman" w:eastAsia="宋体" w:cs="Times New Roman"/>
                <w:b/>
                <w:bCs/>
                <w:lang w:val="en-US" w:eastAsia="zh-CN"/>
              </w:rPr>
              <w:t>渣、除尘灰</w:t>
            </w:r>
            <w:r>
              <w:rPr>
                <w:rFonts w:hint="default" w:ascii="Times New Roman" w:hAnsi="Times New Roman" w:eastAsia="宋体" w:cs="Times New Roman"/>
                <w:b/>
                <w:bCs/>
                <w:lang w:val="en-US" w:eastAsia="zh-CN"/>
              </w:rPr>
              <w:t>处置可</w:t>
            </w:r>
            <w:r>
              <w:rPr>
                <w:rFonts w:hint="default" w:ascii="Times New Roman" w:hAnsi="Times New Roman" w:cs="Times New Roman"/>
                <w:b/>
                <w:bCs/>
                <w:lang w:val="en-US" w:eastAsia="zh-CN"/>
              </w:rPr>
              <w:t>行性分析：</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根据资料显示，秸秆等草本生物质燃烧灰</w:t>
            </w:r>
            <w:r>
              <w:rPr>
                <w:rFonts w:hint="eastAsia" w:ascii="Times New Roman" w:hAnsi="Times New Roman" w:cs="Times New Roman"/>
                <w:lang w:val="en-US" w:eastAsia="zh-CN"/>
              </w:rPr>
              <w:t>渣</w:t>
            </w:r>
            <w:r>
              <w:rPr>
                <w:rFonts w:hint="default" w:ascii="Times New Roman" w:hAnsi="Times New Roman" w:cs="Times New Roman"/>
                <w:lang w:val="en-US" w:eastAsia="zh-CN"/>
              </w:rPr>
              <w:t>中含有大量K，还含有Ca、Mg等植物生长所需要的营养元素，是生产复合肥料的优质材料。不仅可以降低人工肥料的施用，维持土壤的营养平衡或增加土壤营养成分，还能减少矿物质的流失，实现营养元素的再循环和生物质能的真正可持续利用。</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因此，生物质燃料灰渣</w:t>
            </w:r>
            <w:r>
              <w:rPr>
                <w:rFonts w:hint="eastAsia" w:ascii="Times New Roman" w:hAnsi="Times New Roman" w:cs="Times New Roman"/>
                <w:lang w:val="en-US" w:eastAsia="zh-CN"/>
              </w:rPr>
              <w:t>、除尘灰</w:t>
            </w:r>
            <w:r>
              <w:rPr>
                <w:rFonts w:hint="default" w:ascii="Times New Roman" w:hAnsi="Times New Roman" w:cs="Times New Roman"/>
                <w:lang w:val="en-US" w:eastAsia="zh-CN"/>
              </w:rPr>
              <w:t>外售制作有机肥料是可行的。</w:t>
            </w:r>
          </w:p>
          <w:p>
            <w:pPr>
              <w:pStyle w:val="38"/>
              <w:bidi w:val="0"/>
              <w:rPr>
                <w:rFonts w:hint="default"/>
                <w:sz w:val="24"/>
                <w:szCs w:val="24"/>
                <w:lang w:val="en-US" w:eastAsia="zh-CN"/>
              </w:rPr>
            </w:pPr>
            <w:r>
              <w:rPr>
                <w:rFonts w:hint="default"/>
                <w:sz w:val="24"/>
                <w:szCs w:val="24"/>
                <w:lang w:val="en-US" w:eastAsia="zh-CN"/>
              </w:rPr>
              <w:t>表</w:t>
            </w:r>
            <w:r>
              <w:rPr>
                <w:rFonts w:hint="eastAsia"/>
                <w:sz w:val="24"/>
                <w:szCs w:val="24"/>
                <w:lang w:val="en-US" w:eastAsia="zh-CN"/>
              </w:rPr>
              <w:t>4-10</w:t>
            </w:r>
            <w:r>
              <w:rPr>
                <w:rFonts w:hint="default"/>
                <w:sz w:val="24"/>
                <w:szCs w:val="24"/>
                <w:lang w:val="en-US" w:eastAsia="zh-CN"/>
              </w:rPr>
              <w:t xml:space="preserve"> 固体废弃物产生情况一览表</w:t>
            </w:r>
          </w:p>
          <w:tbl>
            <w:tblPr>
              <w:tblStyle w:val="24"/>
              <w:tblW w:w="800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1304"/>
              <w:gridCol w:w="1408"/>
              <w:gridCol w:w="29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jc w:val="center"/>
                    <w:rPr>
                      <w:rFonts w:hint="default"/>
                      <w:b/>
                      <w:bCs/>
                      <w:vertAlign w:val="baseline"/>
                      <w:lang w:val="en-US" w:eastAsia="zh-CN" w:bidi="ar-SA"/>
                    </w:rPr>
                  </w:pPr>
                  <w:r>
                    <w:rPr>
                      <w:rFonts w:hint="default"/>
                      <w:b/>
                      <w:bCs/>
                      <w:vertAlign w:val="baseline"/>
                      <w:lang w:val="en-US" w:eastAsia="zh-CN" w:bidi="ar-SA"/>
                    </w:rPr>
                    <w:t>污染物</w:t>
                  </w:r>
                </w:p>
              </w:tc>
              <w:tc>
                <w:tcPr>
                  <w:tcW w:w="1304" w:type="dxa"/>
                  <w:vAlign w:val="center"/>
                </w:tcPr>
                <w:p>
                  <w:pPr>
                    <w:pStyle w:val="39"/>
                    <w:bidi w:val="0"/>
                    <w:jc w:val="center"/>
                    <w:rPr>
                      <w:rFonts w:hint="default"/>
                      <w:b/>
                      <w:bCs/>
                      <w:vertAlign w:val="baseline"/>
                      <w:lang w:val="en-US" w:eastAsia="zh-CN" w:bidi="ar-SA"/>
                    </w:rPr>
                  </w:pPr>
                  <w:r>
                    <w:rPr>
                      <w:rFonts w:hint="default"/>
                      <w:b/>
                      <w:bCs/>
                      <w:vertAlign w:val="baseline"/>
                      <w:lang w:val="en-US" w:eastAsia="zh-CN" w:bidi="ar-SA"/>
                    </w:rPr>
                    <w:t>废物类别</w:t>
                  </w:r>
                </w:p>
              </w:tc>
              <w:tc>
                <w:tcPr>
                  <w:tcW w:w="1408" w:type="dxa"/>
                  <w:vAlign w:val="center"/>
                </w:tcPr>
                <w:p>
                  <w:pPr>
                    <w:pStyle w:val="39"/>
                    <w:bidi w:val="0"/>
                    <w:jc w:val="center"/>
                    <w:rPr>
                      <w:rFonts w:hint="default"/>
                      <w:b/>
                      <w:bCs/>
                      <w:vertAlign w:val="baseline"/>
                      <w:lang w:val="en-US" w:eastAsia="zh-CN" w:bidi="ar-SA"/>
                    </w:rPr>
                  </w:pPr>
                  <w:r>
                    <w:rPr>
                      <w:rFonts w:hint="default"/>
                      <w:b/>
                      <w:bCs/>
                      <w:vertAlign w:val="baseline"/>
                      <w:lang w:val="en-US" w:eastAsia="zh-CN" w:bidi="ar-SA"/>
                    </w:rPr>
                    <w:t>产生量（t/a）</w:t>
                  </w:r>
                </w:p>
              </w:tc>
              <w:tc>
                <w:tcPr>
                  <w:tcW w:w="2974" w:type="dxa"/>
                  <w:vAlign w:val="center"/>
                </w:tcPr>
                <w:p>
                  <w:pPr>
                    <w:pStyle w:val="39"/>
                    <w:bidi w:val="0"/>
                    <w:jc w:val="center"/>
                    <w:rPr>
                      <w:rFonts w:hint="default"/>
                      <w:b/>
                      <w:bCs/>
                      <w:vertAlign w:val="baseline"/>
                      <w:lang w:val="en-US" w:eastAsia="zh-CN" w:bidi="ar-SA"/>
                    </w:rPr>
                  </w:pPr>
                  <w:r>
                    <w:rPr>
                      <w:rFonts w:hint="default"/>
                      <w:b/>
                      <w:bCs/>
                      <w:vertAlign w:val="baseline"/>
                      <w:lang w:val="en-US" w:eastAsia="zh-CN" w:bidi="ar-SA"/>
                    </w:rPr>
                    <w:t>处置措施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jc w:val="center"/>
                    <w:rPr>
                      <w:rFonts w:hint="default"/>
                      <w:vertAlign w:val="baseline"/>
                      <w:lang w:val="en-US" w:eastAsia="zh-CN" w:bidi="ar-SA"/>
                    </w:rPr>
                  </w:pPr>
                  <w:r>
                    <w:rPr>
                      <w:rFonts w:hint="default"/>
                      <w:vertAlign w:val="baseline"/>
                      <w:lang w:val="en-US" w:eastAsia="zh-CN" w:bidi="ar-SA"/>
                    </w:rPr>
                    <w:t>生活垃圾</w:t>
                  </w:r>
                </w:p>
              </w:tc>
              <w:tc>
                <w:tcPr>
                  <w:tcW w:w="1304"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w:t>
                  </w:r>
                </w:p>
              </w:tc>
              <w:tc>
                <w:tcPr>
                  <w:tcW w:w="1408"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1</w:t>
                  </w:r>
                </w:p>
              </w:tc>
              <w:tc>
                <w:tcPr>
                  <w:tcW w:w="2974" w:type="dxa"/>
                  <w:vMerge w:val="restart"/>
                  <w:vAlign w:val="center"/>
                </w:tcPr>
                <w:p>
                  <w:pPr>
                    <w:pStyle w:val="39"/>
                    <w:bidi w:val="0"/>
                    <w:jc w:val="center"/>
                    <w:rPr>
                      <w:rFonts w:hint="default"/>
                      <w:vertAlign w:val="baseline"/>
                      <w:lang w:val="en-US" w:eastAsia="zh-CN" w:bidi="ar-SA"/>
                    </w:rPr>
                  </w:pPr>
                  <w:r>
                    <w:rPr>
                      <w:rFonts w:hint="eastAsia"/>
                      <w:lang w:val="en-US" w:eastAsia="zh-CN" w:bidi="ar-SA"/>
                    </w:rPr>
                    <w:t>委托环卫部门处置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jc w:val="center"/>
                    <w:rPr>
                      <w:rFonts w:hint="default"/>
                      <w:vertAlign w:val="baseline"/>
                      <w:lang w:val="en-US" w:eastAsia="zh-CN" w:bidi="ar-SA"/>
                    </w:rPr>
                  </w:pPr>
                  <w:r>
                    <w:rPr>
                      <w:rFonts w:hint="default"/>
                      <w:vertAlign w:val="baseline"/>
                      <w:lang w:val="en-US" w:eastAsia="zh-CN" w:bidi="ar-SA"/>
                    </w:rPr>
                    <w:t>水煮工序废辅料和底泥</w:t>
                  </w:r>
                </w:p>
              </w:tc>
              <w:tc>
                <w:tcPr>
                  <w:tcW w:w="1304"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一般固废</w:t>
                  </w:r>
                </w:p>
              </w:tc>
              <w:tc>
                <w:tcPr>
                  <w:tcW w:w="1408"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3.12</w:t>
                  </w:r>
                </w:p>
              </w:tc>
              <w:tc>
                <w:tcPr>
                  <w:tcW w:w="2974" w:type="dxa"/>
                  <w:vMerge w:val="continue"/>
                  <w:vAlign w:val="center"/>
                </w:tcPr>
                <w:p>
                  <w:pPr>
                    <w:pStyle w:val="39"/>
                    <w:bidi w:val="0"/>
                    <w:jc w:val="center"/>
                    <w:rPr>
                      <w:rFonts w:hint="default"/>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jc w:val="center"/>
                    <w:rPr>
                      <w:rFonts w:hint="default"/>
                      <w:vertAlign w:val="baseline"/>
                      <w:lang w:val="en-US" w:eastAsia="zh-CN" w:bidi="ar-SA"/>
                    </w:rPr>
                  </w:pPr>
                  <w:r>
                    <w:rPr>
                      <w:rFonts w:hint="default" w:ascii="Times New Roman" w:hAnsi="Times New Roman" w:cs="Times New Roman"/>
                      <w:lang w:val="en-US" w:eastAsia="zh-CN" w:bidi="ar-SA"/>
                    </w:rPr>
                    <w:t>不合格瓜子</w:t>
                  </w:r>
                </w:p>
              </w:tc>
              <w:tc>
                <w:tcPr>
                  <w:tcW w:w="1304"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一般固废</w:t>
                  </w:r>
                </w:p>
              </w:tc>
              <w:tc>
                <w:tcPr>
                  <w:tcW w:w="1408"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51</w:t>
                  </w:r>
                </w:p>
              </w:tc>
              <w:tc>
                <w:tcPr>
                  <w:tcW w:w="2974" w:type="dxa"/>
                  <w:vAlign w:val="center"/>
                </w:tcPr>
                <w:p>
                  <w:pPr>
                    <w:pStyle w:val="39"/>
                    <w:bidi w:val="0"/>
                    <w:jc w:val="center"/>
                    <w:rPr>
                      <w:rFonts w:hint="default"/>
                      <w:vertAlign w:val="baseline"/>
                      <w:lang w:val="en-US" w:eastAsia="zh-CN" w:bidi="ar-SA"/>
                    </w:rPr>
                  </w:pPr>
                  <w:r>
                    <w:rPr>
                      <w:rFonts w:hint="eastAsia"/>
                      <w:lang w:val="en-US" w:eastAsia="zh-CN" w:bidi="ar-SA"/>
                    </w:rPr>
                    <w:t>用作水煮工序燃料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ind w:firstLine="0" w:firstLineChars="0"/>
                    <w:jc w:val="center"/>
                    <w:rPr>
                      <w:rFonts w:hint="default" w:ascii="Times New Roman" w:hAnsi="Times New Roman" w:eastAsia="宋体" w:cs="Times New Roman"/>
                      <w:sz w:val="21"/>
                      <w:vertAlign w:val="baseline"/>
                      <w:lang w:val="en-US" w:eastAsia="zh-CN" w:bidi="ar-SA"/>
                    </w:rPr>
                  </w:pPr>
                  <w:r>
                    <w:rPr>
                      <w:rFonts w:hint="default" w:ascii="Times New Roman" w:hAnsi="Times New Roman" w:cs="Times New Roman"/>
                      <w:lang w:val="en-US" w:eastAsia="zh-CN" w:bidi="ar-SA"/>
                    </w:rPr>
                    <w:t>不合格辣椒、辣椒梗及石子、砂砾等杂质</w:t>
                  </w:r>
                </w:p>
              </w:tc>
              <w:tc>
                <w:tcPr>
                  <w:tcW w:w="1304" w:type="dxa"/>
                  <w:vAlign w:val="center"/>
                </w:tcPr>
                <w:p>
                  <w:pPr>
                    <w:pStyle w:val="39"/>
                    <w:bidi w:val="0"/>
                    <w:ind w:firstLine="0" w:firstLineChars="0"/>
                    <w:jc w:val="center"/>
                    <w:rPr>
                      <w:rFonts w:hint="default" w:ascii="Times New Roman" w:hAnsi="Times New Roman" w:eastAsia="宋体" w:cs="Times New Roman"/>
                      <w:sz w:val="21"/>
                      <w:vertAlign w:val="baseline"/>
                      <w:lang w:val="en-US" w:eastAsia="zh-CN" w:bidi="ar-SA"/>
                    </w:rPr>
                  </w:pPr>
                  <w:r>
                    <w:rPr>
                      <w:rFonts w:hint="eastAsia"/>
                      <w:vertAlign w:val="baseline"/>
                      <w:lang w:val="en-US" w:eastAsia="zh-CN" w:bidi="ar-SA"/>
                    </w:rPr>
                    <w:t>一般固废</w:t>
                  </w:r>
                </w:p>
              </w:tc>
              <w:tc>
                <w:tcPr>
                  <w:tcW w:w="1408" w:type="dxa"/>
                  <w:vAlign w:val="center"/>
                </w:tcPr>
                <w:p>
                  <w:pPr>
                    <w:pStyle w:val="39"/>
                    <w:bidi w:val="0"/>
                    <w:ind w:firstLine="0" w:firstLineChars="0"/>
                    <w:jc w:val="center"/>
                    <w:rPr>
                      <w:rFonts w:hint="default" w:ascii="Times New Roman" w:hAnsi="Times New Roman" w:eastAsia="宋体" w:cs="Times New Roman"/>
                      <w:sz w:val="21"/>
                      <w:vertAlign w:val="baseline"/>
                      <w:lang w:val="en-US" w:eastAsia="zh-CN" w:bidi="ar-SA"/>
                    </w:rPr>
                  </w:pPr>
                  <w:r>
                    <w:rPr>
                      <w:rFonts w:hint="eastAsia"/>
                      <w:vertAlign w:val="baseline"/>
                      <w:lang w:val="en-US" w:eastAsia="zh-CN" w:bidi="ar-SA"/>
                    </w:rPr>
                    <w:t>0.90</w:t>
                  </w:r>
                </w:p>
              </w:tc>
              <w:tc>
                <w:tcPr>
                  <w:tcW w:w="2974" w:type="dxa"/>
                  <w:vAlign w:val="center"/>
                </w:tcPr>
                <w:p>
                  <w:pPr>
                    <w:pStyle w:val="39"/>
                    <w:bidi w:val="0"/>
                    <w:jc w:val="center"/>
                    <w:rPr>
                      <w:rFonts w:hint="default"/>
                      <w:vertAlign w:val="baseline"/>
                      <w:lang w:val="en-US" w:eastAsia="zh-CN" w:bidi="ar-SA"/>
                    </w:rPr>
                  </w:pPr>
                  <w:r>
                    <w:rPr>
                      <w:rFonts w:hint="eastAsia"/>
                      <w:lang w:val="en-US" w:eastAsia="zh-CN" w:bidi="ar-SA"/>
                    </w:rPr>
                    <w:t>委托环卫部门处置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ind w:firstLine="0" w:firstLineChars="0"/>
                    <w:jc w:val="center"/>
                    <w:rPr>
                      <w:rFonts w:hint="default" w:ascii="Times New Roman" w:hAnsi="Times New Roman" w:eastAsia="宋体" w:cs="Times New Roman"/>
                      <w:sz w:val="21"/>
                      <w:vertAlign w:val="baseline"/>
                      <w:lang w:val="en-US" w:eastAsia="zh-CN" w:bidi="ar-SA"/>
                    </w:rPr>
                  </w:pPr>
                  <w:r>
                    <w:rPr>
                      <w:rFonts w:hint="default" w:ascii="Times New Roman" w:hAnsi="Times New Roman" w:cs="Times New Roman"/>
                      <w:lang w:val="en-US" w:eastAsia="zh-CN" w:bidi="ar-SA"/>
                    </w:rPr>
                    <w:t>除尘灰</w:t>
                  </w:r>
                </w:p>
              </w:tc>
              <w:tc>
                <w:tcPr>
                  <w:tcW w:w="1304" w:type="dxa"/>
                  <w:vAlign w:val="center"/>
                </w:tcPr>
                <w:p>
                  <w:pPr>
                    <w:pStyle w:val="39"/>
                    <w:bidi w:val="0"/>
                    <w:ind w:firstLine="0" w:firstLineChars="0"/>
                    <w:jc w:val="center"/>
                    <w:rPr>
                      <w:rFonts w:hint="eastAsia" w:ascii="Times New Roman" w:hAnsi="Times New Roman" w:eastAsia="宋体" w:cs="Times New Roman"/>
                      <w:sz w:val="21"/>
                      <w:vertAlign w:val="baseline"/>
                      <w:lang w:val="en-US" w:eastAsia="zh-CN" w:bidi="ar-SA"/>
                    </w:rPr>
                  </w:pPr>
                  <w:r>
                    <w:rPr>
                      <w:rFonts w:hint="eastAsia"/>
                      <w:vertAlign w:val="baseline"/>
                      <w:lang w:val="en-US" w:eastAsia="zh-CN" w:bidi="ar-SA"/>
                    </w:rPr>
                    <w:t>一般固废</w:t>
                  </w:r>
                </w:p>
              </w:tc>
              <w:tc>
                <w:tcPr>
                  <w:tcW w:w="1408" w:type="dxa"/>
                  <w:vAlign w:val="center"/>
                </w:tcPr>
                <w:p>
                  <w:pPr>
                    <w:pStyle w:val="39"/>
                    <w:bidi w:val="0"/>
                    <w:ind w:firstLine="0" w:firstLineChars="0"/>
                    <w:jc w:val="center"/>
                    <w:rPr>
                      <w:rFonts w:hint="eastAsia" w:ascii="Times New Roman" w:hAnsi="Times New Roman" w:eastAsia="宋体" w:cs="Times New Roman"/>
                      <w:sz w:val="21"/>
                      <w:vertAlign w:val="baseline"/>
                      <w:lang w:val="en-US" w:eastAsia="zh-CN" w:bidi="ar-SA"/>
                    </w:rPr>
                  </w:pPr>
                  <w:r>
                    <w:rPr>
                      <w:rFonts w:hint="eastAsia"/>
                      <w:vertAlign w:val="baseline"/>
                      <w:lang w:val="en-US" w:eastAsia="zh-CN" w:bidi="ar-SA"/>
                    </w:rPr>
                    <w:t>0.72</w:t>
                  </w:r>
                </w:p>
              </w:tc>
              <w:tc>
                <w:tcPr>
                  <w:tcW w:w="2974" w:type="dxa"/>
                  <w:vMerge w:val="restart"/>
                  <w:vAlign w:val="center"/>
                </w:tcPr>
                <w:p>
                  <w:pPr>
                    <w:pStyle w:val="39"/>
                    <w:bidi w:val="0"/>
                    <w:jc w:val="center"/>
                    <w:rPr>
                      <w:rFonts w:hint="default"/>
                      <w:vertAlign w:val="baseline"/>
                      <w:lang w:val="en-US" w:eastAsia="zh-CN" w:bidi="ar-SA"/>
                    </w:rPr>
                  </w:pPr>
                  <w:r>
                    <w:rPr>
                      <w:rFonts w:hint="default"/>
                      <w:vertAlign w:val="baseline"/>
                      <w:lang w:val="en-US" w:eastAsia="zh-CN" w:bidi="ar-SA"/>
                    </w:rPr>
                    <w:t>外售有机肥厂制作肥料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22" w:type="dxa"/>
                  <w:vAlign w:val="center"/>
                </w:tcPr>
                <w:p>
                  <w:pPr>
                    <w:pStyle w:val="39"/>
                    <w:bidi w:val="0"/>
                    <w:jc w:val="center"/>
                    <w:rPr>
                      <w:rFonts w:hint="default"/>
                      <w:vertAlign w:val="baseline"/>
                      <w:lang w:val="en-US" w:eastAsia="zh-CN" w:bidi="ar-SA"/>
                    </w:rPr>
                  </w:pPr>
                  <w:r>
                    <w:rPr>
                      <w:rFonts w:hint="eastAsia" w:cs="Times New Roman"/>
                      <w:lang w:val="en-US" w:eastAsia="zh-CN" w:bidi="ar-SA"/>
                    </w:rPr>
                    <w:t>生物质燃料灰渣</w:t>
                  </w:r>
                </w:p>
              </w:tc>
              <w:tc>
                <w:tcPr>
                  <w:tcW w:w="1304" w:type="dxa"/>
                  <w:vAlign w:val="center"/>
                </w:tcPr>
                <w:p>
                  <w:pPr>
                    <w:pStyle w:val="39"/>
                    <w:bidi w:val="0"/>
                    <w:jc w:val="center"/>
                    <w:rPr>
                      <w:rFonts w:hint="default"/>
                      <w:vertAlign w:val="baseline"/>
                      <w:lang w:val="en-US" w:eastAsia="zh-CN" w:bidi="ar-SA"/>
                    </w:rPr>
                  </w:pPr>
                  <w:r>
                    <w:rPr>
                      <w:rFonts w:hint="eastAsia"/>
                      <w:vertAlign w:val="baseline"/>
                      <w:lang w:val="en-US" w:eastAsia="zh-CN" w:bidi="ar-SA"/>
                    </w:rPr>
                    <w:t>一般固废</w:t>
                  </w:r>
                </w:p>
              </w:tc>
              <w:tc>
                <w:tcPr>
                  <w:tcW w:w="1408" w:type="dxa"/>
                  <w:vAlign w:val="center"/>
                </w:tcPr>
                <w:p>
                  <w:pPr>
                    <w:pStyle w:val="39"/>
                    <w:bidi w:val="0"/>
                    <w:jc w:val="center"/>
                    <w:rPr>
                      <w:rFonts w:hint="default"/>
                      <w:vertAlign w:val="baseline"/>
                      <w:lang w:val="en-US" w:eastAsia="zh-CN" w:bidi="ar-SA"/>
                    </w:rPr>
                  </w:pPr>
                  <w:r>
                    <w:rPr>
                      <w:rFonts w:hint="eastAsia"/>
                      <w:color w:val="FF0000"/>
                      <w:highlight w:val="none"/>
                      <w:vertAlign w:val="baseline"/>
                      <w:lang w:val="en-US" w:eastAsia="zh-CN" w:bidi="ar-SA"/>
                    </w:rPr>
                    <w:t>69.13</w:t>
                  </w:r>
                </w:p>
              </w:tc>
              <w:tc>
                <w:tcPr>
                  <w:tcW w:w="2974" w:type="dxa"/>
                  <w:vMerge w:val="continue"/>
                  <w:vAlign w:val="center"/>
                </w:tcPr>
                <w:p>
                  <w:pPr>
                    <w:pStyle w:val="39"/>
                    <w:bidi w:val="0"/>
                    <w:jc w:val="center"/>
                    <w:rPr>
                      <w:rFonts w:hint="default"/>
                      <w:vertAlign w:val="baseline"/>
                      <w:lang w:val="en-US" w:eastAsia="zh-CN" w:bidi="ar-SA"/>
                    </w:rPr>
                  </w:pPr>
                </w:p>
              </w:tc>
            </w:tr>
          </w:tbl>
          <w:p>
            <w:pPr>
              <w:pStyle w:val="6"/>
              <w:keepNext w:val="0"/>
              <w:keepLines w:val="0"/>
              <w:pageBreakBefore w:val="0"/>
              <w:widowControl w:val="0"/>
              <w:kinsoku/>
              <w:wordWrap/>
              <w:overflowPunct/>
              <w:topLinePunct w:val="0"/>
              <w:autoSpaceDE/>
              <w:autoSpaceDN/>
              <w:bidi w:val="0"/>
              <w:adjustRightInd/>
              <w:snapToGrid/>
              <w:spacing w:before="157" w:beforeLines="50"/>
              <w:ind w:left="0" w:leftChars="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本项目固体废物采取以上措施后均妥善处置，对环境影响较小。</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（2）环境管理要求</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生活垃圾存放于指定区域设置的垃圾桶，委托环卫部门清运，不会对周围环境产生影响，项目固体废物综合利用、处理处置前的堆放、贮存场所应按照国家固体废物贮存有关要求设置，避免产生二次污染。</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对于本项目产生的一般工业固体废物，其临时贮存必须按照</w:t>
            </w:r>
            <w:r>
              <w:rPr>
                <w:rFonts w:hint="default" w:ascii="Times New Roman" w:hAnsi="Times New Roman" w:cs="Times New Roman"/>
                <w:color w:val="FF0000"/>
                <w:highlight w:val="none"/>
                <w:lang w:val="en-US" w:eastAsia="zh-CN"/>
              </w:rPr>
              <w:t>《一般工业固体废物贮存</w:t>
            </w:r>
            <w:r>
              <w:rPr>
                <w:rFonts w:hint="eastAsia" w:ascii="Times New Roman" w:hAnsi="Times New Roman" w:cs="Times New Roman"/>
                <w:color w:val="FF0000"/>
                <w:highlight w:val="none"/>
                <w:lang w:val="en-US" w:eastAsia="zh-CN"/>
              </w:rPr>
              <w:t>和填埋</w:t>
            </w:r>
            <w:r>
              <w:rPr>
                <w:rFonts w:hint="default" w:ascii="Times New Roman" w:hAnsi="Times New Roman" w:cs="Times New Roman"/>
                <w:color w:val="FF0000"/>
                <w:highlight w:val="none"/>
                <w:lang w:val="en-US" w:eastAsia="zh-CN"/>
              </w:rPr>
              <w:t>污染控制标准》（GB18599-2020）</w:t>
            </w:r>
            <w:r>
              <w:rPr>
                <w:rFonts w:hint="default" w:ascii="Times New Roman" w:hAnsi="Times New Roman" w:cs="Times New Roman"/>
                <w:lang w:val="en-US" w:eastAsia="zh-CN"/>
              </w:rPr>
              <w:t>的要求贮存、处置。</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本项目在加强管理并落实好各项污染防治措施和固体废物安全处置措施的前提下，对周围环境的影响较小。</w:t>
            </w:r>
          </w:p>
          <w:p>
            <w:pPr>
              <w:keepNext w:val="0"/>
              <w:keepLines w:val="0"/>
              <w:pageBreakBefore w:val="0"/>
              <w:widowControl w:val="0"/>
              <w:kinsoku/>
              <w:wordWrap/>
              <w:overflowPunct/>
              <w:topLinePunct w:val="0"/>
              <w:autoSpaceDE/>
              <w:autoSpaceDN/>
              <w:bidi w:val="0"/>
              <w:adjustRightInd w:val="0"/>
              <w:snapToGrid/>
              <w:textAlignment w:val="auto"/>
              <w:rPr>
                <w:rFonts w:hint="default" w:ascii="Times New Roman" w:hAnsi="Times New Roman" w:eastAsia="宋体" w:cs="Times New Roman"/>
                <w:b/>
                <w:bCs/>
                <w:color w:val="auto"/>
                <w:sz w:val="24"/>
                <w:lang w:val="en-US" w:eastAsia="zh-CN"/>
              </w:rPr>
            </w:pPr>
            <w:r>
              <w:rPr>
                <w:rFonts w:hint="default" w:ascii="Times New Roman" w:hAnsi="Times New Roman" w:cs="Times New Roman"/>
                <w:b/>
                <w:bCs/>
                <w:color w:val="auto"/>
                <w:sz w:val="24"/>
                <w:lang w:val="en-US" w:eastAsia="zh-CN"/>
              </w:rPr>
              <w:t>5</w:t>
            </w: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地下水、土壤</w:t>
            </w:r>
          </w:p>
          <w:p>
            <w:pPr>
              <w:pStyle w:val="6"/>
              <w:bidi w:val="0"/>
              <w:rPr>
                <w:rFonts w:hint="default" w:ascii="Times New Roman" w:hAnsi="Times New Roman" w:eastAsia="宋体" w:cs="Times New Roman"/>
                <w:lang w:val="en-US"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1</w:t>
            </w:r>
            <w:r>
              <w:rPr>
                <w:rFonts w:hint="eastAsia" w:ascii="Times New Roman" w:hAnsi="Times New Roman" w:cs="Times New Roman"/>
                <w:lang w:eastAsia="zh-CN"/>
              </w:rPr>
              <w:t>）</w:t>
            </w:r>
            <w:r>
              <w:rPr>
                <w:rFonts w:hint="eastAsia" w:ascii="Times New Roman" w:hAnsi="Times New Roman" w:cs="Times New Roman"/>
                <w:lang w:val="en-US" w:eastAsia="zh-CN"/>
              </w:rPr>
              <w:t>污染源及污染途径</w:t>
            </w:r>
          </w:p>
          <w:p>
            <w:pPr>
              <w:pStyle w:val="6"/>
              <w:bidi w:val="0"/>
              <w:rPr>
                <w:rFonts w:hint="default" w:ascii="Times New Roman" w:hAnsi="Times New Roman" w:cs="Times New Roman"/>
              </w:rPr>
            </w:pPr>
            <w:r>
              <w:rPr>
                <w:rFonts w:hint="default" w:ascii="Times New Roman" w:hAnsi="Times New Roman" w:cs="Times New Roman"/>
              </w:rPr>
              <w:t>本项目生活污水处置不当</w:t>
            </w:r>
            <w:r>
              <w:rPr>
                <w:rFonts w:hint="eastAsia" w:ascii="Times New Roman" w:hAnsi="Times New Roman" w:cs="Times New Roman"/>
                <w:highlight w:val="none"/>
                <w:lang w:val="en-US" w:eastAsia="zh-CN"/>
              </w:rPr>
              <w:t>可能</w:t>
            </w:r>
            <w:r>
              <w:rPr>
                <w:rFonts w:hint="default" w:ascii="Times New Roman" w:hAnsi="Times New Roman" w:cs="Times New Roman"/>
              </w:rPr>
              <w:t>会下渗到土壤中进而可能进入地下水，从而污染土壤和地下水。</w:t>
            </w:r>
          </w:p>
          <w:p>
            <w:pPr>
              <w:pStyle w:val="6"/>
              <w:bidi w:val="0"/>
              <w:rPr>
                <w:rFonts w:hint="eastAsia" w:ascii="Times New Roman" w:hAnsi="Times New Roman" w:eastAsia="宋体" w:cs="Times New Roman"/>
                <w:lang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2</w:t>
            </w:r>
            <w:r>
              <w:rPr>
                <w:rFonts w:hint="eastAsia" w:ascii="Times New Roman" w:hAnsi="Times New Roman" w:cs="Times New Roman"/>
                <w:lang w:eastAsia="zh-CN"/>
              </w:rPr>
              <w:t>）防控措施</w:t>
            </w:r>
          </w:p>
          <w:p>
            <w:pPr>
              <w:pStyle w:val="6"/>
              <w:bidi w:val="0"/>
              <w:rPr>
                <w:rFonts w:hint="default" w:ascii="Times New Roman" w:hAnsi="Times New Roman" w:cs="Times New Roman"/>
              </w:rPr>
            </w:pPr>
            <w:r>
              <w:rPr>
                <w:rFonts w:hint="default" w:ascii="Times New Roman" w:hAnsi="Times New Roman" w:cs="Times New Roman"/>
              </w:rPr>
              <w:t>本项目生活污水排入厂区防渗化粪池，定期清掏</w:t>
            </w:r>
            <w:r>
              <w:rPr>
                <w:rFonts w:hint="default" w:ascii="Times New Roman" w:hAnsi="Times New Roman" w:cs="Times New Roman"/>
                <w:lang w:eastAsia="zh-CN"/>
              </w:rPr>
              <w:t>，</w:t>
            </w:r>
            <w:r>
              <w:rPr>
                <w:rFonts w:hint="default" w:ascii="Times New Roman" w:hAnsi="Times New Roman" w:cs="Times New Roman"/>
              </w:rPr>
              <w:t>采取分区防控的措施进行土壤和地下水防治。化粪池为一般防渗区，防渗层等效于M=1.5m厚粘土，渗透系数不大于10</w:t>
            </w:r>
            <w:r>
              <w:rPr>
                <w:rFonts w:hint="default" w:ascii="Times New Roman" w:hAnsi="Times New Roman" w:cs="Times New Roman"/>
                <w:vertAlign w:val="superscript"/>
              </w:rPr>
              <w:t>-7</w:t>
            </w:r>
            <w:r>
              <w:rPr>
                <w:rFonts w:hint="default" w:ascii="Times New Roman" w:hAnsi="Times New Roman" w:cs="Times New Roman"/>
              </w:rPr>
              <w:t>cm/s；生产厂房以及厂区道路等均不进行防渗，只水泥硬化地面。采取以上措施后，污水一般不会下渗至土壤和地下水，从而不会污染土壤和地下水，措施可行。</w:t>
            </w:r>
          </w:p>
          <w:p>
            <w:pP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rPr>
              <w:t>6、</w:t>
            </w:r>
            <w:r>
              <w:rPr>
                <w:rFonts w:hint="default" w:ascii="Times New Roman" w:hAnsi="Times New Roman" w:cs="Times New Roman"/>
                <w:b/>
                <w:bCs/>
                <w:color w:val="auto"/>
                <w:sz w:val="24"/>
                <w:highlight w:val="none"/>
              </w:rPr>
              <w:t>环境风险</w:t>
            </w:r>
          </w:p>
          <w:p>
            <w:pPr>
              <w:bidi w:val="0"/>
              <w:ind w:firstLine="480" w:firstLineChars="200"/>
              <w:rPr>
                <w:rFonts w:hint="eastAsia" w:ascii="Times New Roman" w:hAnsi="Times New Roman" w:eastAsia="宋体" w:cs="Times New Roman"/>
                <w:b w:val="0"/>
                <w:bCs w:val="0"/>
                <w:sz w:val="24"/>
                <w:szCs w:val="24"/>
                <w:lang w:eastAsia="zh-CN"/>
              </w:rPr>
            </w:pPr>
            <w:r>
              <w:rPr>
                <w:rFonts w:hint="default" w:ascii="Times New Roman" w:hAnsi="Times New Roman" w:cs="Times New Roman"/>
                <w:b w:val="0"/>
                <w:bCs w:val="0"/>
                <w:sz w:val="24"/>
                <w:szCs w:val="24"/>
              </w:rPr>
              <w:t>本项目不涉及风险物质的使用和储存</w:t>
            </w:r>
            <w:r>
              <w:rPr>
                <w:rFonts w:hint="eastAsia" w:cs="Times New Roman"/>
                <w:b w:val="0"/>
                <w:bCs w:val="0"/>
                <w:sz w:val="24"/>
                <w:szCs w:val="24"/>
                <w:lang w:eastAsia="zh-CN"/>
              </w:rPr>
              <w:t>。</w:t>
            </w:r>
          </w:p>
          <w:p>
            <w:pPr>
              <w:rPr>
                <w:rFonts w:hint="eastAsia" w:ascii="Times New Roman" w:hAnsi="Times New Roman" w:eastAsia="宋体" w:cs="Times New Roman"/>
                <w:b/>
                <w:bCs/>
                <w:color w:val="FF0000"/>
                <w:sz w:val="24"/>
                <w:highlight w:val="none"/>
                <w:lang w:val="en-US" w:eastAsia="zh-CN"/>
              </w:rPr>
            </w:pPr>
            <w:r>
              <w:rPr>
                <w:rFonts w:hint="eastAsia" w:ascii="Times New Roman" w:hAnsi="Times New Roman" w:eastAsia="宋体" w:cs="Times New Roman"/>
                <w:b/>
                <w:bCs/>
                <w:color w:val="FF0000"/>
                <w:sz w:val="24"/>
                <w:highlight w:val="none"/>
                <w:lang w:val="en-US" w:eastAsia="zh-CN"/>
              </w:rPr>
              <w:t>7、</w:t>
            </w:r>
            <w:r>
              <w:rPr>
                <w:rFonts w:hint="eastAsia" w:ascii="Times New Roman"/>
                <w:b/>
                <w:bCs/>
                <w:color w:val="FF0000"/>
                <w:sz w:val="24"/>
                <w:highlight w:val="none"/>
                <w:lang w:val="en-US" w:eastAsia="zh-CN"/>
              </w:rPr>
              <w:t>项目环保投资</w:t>
            </w:r>
            <w:r>
              <w:rPr>
                <w:rFonts w:hint="eastAsia"/>
                <w:b/>
                <w:bCs/>
                <w:color w:val="FF0000"/>
                <w:sz w:val="24"/>
                <w:highlight w:val="none"/>
                <w:lang w:val="en-US" w:eastAsia="zh-CN"/>
              </w:rPr>
              <w:t>及</w:t>
            </w:r>
            <w:r>
              <w:rPr>
                <w:rFonts w:hint="eastAsia" w:ascii="Times New Roman"/>
                <w:b/>
                <w:bCs/>
                <w:color w:val="FF0000"/>
                <w:sz w:val="24"/>
                <w:highlight w:val="none"/>
                <w:lang w:val="en-US" w:eastAsia="zh-CN"/>
              </w:rPr>
              <w:t>“三同时”验收</w:t>
            </w:r>
          </w:p>
          <w:p>
            <w:pPr>
              <w:bidi w:val="0"/>
              <w:ind w:firstLine="480" w:firstLineChars="200"/>
              <w:rPr>
                <w:rFonts w:hint="eastAsia"/>
                <w:b/>
                <w:bCs/>
                <w:color w:val="FF0000"/>
                <w:sz w:val="24"/>
                <w:szCs w:val="24"/>
                <w:highlight w:val="none"/>
                <w:lang w:val="en-US" w:eastAsia="zh-CN"/>
              </w:rPr>
            </w:pPr>
            <w:r>
              <w:rPr>
                <w:rFonts w:hint="eastAsia" w:ascii="Times New Roman" w:hAnsi="Times New Roman" w:eastAsia="宋体" w:cs="Times New Roman"/>
                <w:b w:val="0"/>
                <w:bCs w:val="0"/>
                <w:color w:val="FF0000"/>
                <w:sz w:val="24"/>
                <w:szCs w:val="24"/>
                <w:highlight w:val="none"/>
                <w:lang w:val="en-US" w:eastAsia="zh-CN"/>
              </w:rPr>
              <w:t>本项目总投资380万元，其中环保投资19万，占工程总投资的5%。项目环保投资及“三同时”验收一览表详见表4-11。</w:t>
            </w:r>
          </w:p>
          <w:p>
            <w:pPr>
              <w:bidi w:val="0"/>
              <w:spacing w:line="240" w:lineRule="auto"/>
              <w:jc w:val="center"/>
              <w:rPr>
                <w:rFonts w:hint="eastAsia"/>
                <w:b/>
                <w:bCs/>
                <w:color w:val="FF0000"/>
                <w:sz w:val="24"/>
                <w:szCs w:val="24"/>
                <w:highlight w:val="none"/>
                <w:lang w:val="en-US" w:eastAsia="zh-CN"/>
              </w:rPr>
            </w:pPr>
            <w:r>
              <w:rPr>
                <w:rFonts w:hint="eastAsia"/>
                <w:b/>
                <w:bCs/>
                <w:color w:val="FF0000"/>
                <w:sz w:val="24"/>
                <w:szCs w:val="24"/>
                <w:highlight w:val="none"/>
                <w:lang w:val="en-US" w:eastAsia="zh-CN"/>
              </w:rPr>
              <w:t>表4-11 项目环保投资及“三同时”验收一览表</w:t>
            </w:r>
          </w:p>
          <w:tbl>
            <w:tblPr>
              <w:tblStyle w:val="24"/>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7"/>
              <w:gridCol w:w="1375"/>
              <w:gridCol w:w="1662"/>
              <w:gridCol w:w="1150"/>
              <w:gridCol w:w="1024"/>
              <w:gridCol w:w="1151"/>
              <w:gridCol w:w="11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dxa"/>
                  <w:vAlign w:val="center"/>
                </w:tcPr>
                <w:p>
                  <w:pPr>
                    <w:spacing w:line="240" w:lineRule="auto"/>
                    <w:jc w:val="center"/>
                    <w:rPr>
                      <w:rFonts w:hint="default" w:ascii="Times New Roman" w:hAnsi="Times New Roman" w:eastAsia="宋体" w:cs="Times New Roman"/>
                      <w:b/>
                      <w:bCs/>
                      <w:color w:val="FF0000"/>
                      <w:kern w:val="2"/>
                      <w:sz w:val="21"/>
                      <w:szCs w:val="21"/>
                      <w:highlight w:val="none"/>
                      <w:lang w:val="en-US" w:eastAsia="zh-CN" w:bidi="ar-SA"/>
                    </w:rPr>
                  </w:pPr>
                  <w:r>
                    <w:rPr>
                      <w:rFonts w:hint="eastAsia" w:ascii="Times New Roman" w:hAnsi="Times New Roman" w:eastAsia="宋体" w:cs="Times New Roman"/>
                      <w:b/>
                      <w:bCs/>
                      <w:color w:val="FF0000"/>
                      <w:szCs w:val="21"/>
                      <w:highlight w:val="none"/>
                    </w:rPr>
                    <w:t>类别</w:t>
                  </w:r>
                </w:p>
              </w:tc>
              <w:tc>
                <w:tcPr>
                  <w:tcW w:w="1375" w:type="dxa"/>
                  <w:vAlign w:val="center"/>
                </w:tcPr>
                <w:p>
                  <w:pPr>
                    <w:spacing w:line="240" w:lineRule="auto"/>
                    <w:jc w:val="center"/>
                    <w:rPr>
                      <w:rFonts w:hint="default" w:ascii="Times New Roman" w:hAnsi="Times New Roman" w:eastAsia="宋体" w:cs="Times New Roman"/>
                      <w:b/>
                      <w:bCs/>
                      <w:color w:val="FF0000"/>
                      <w:kern w:val="2"/>
                      <w:sz w:val="21"/>
                      <w:szCs w:val="21"/>
                      <w:highlight w:val="none"/>
                      <w:lang w:val="en-US" w:eastAsia="zh-CN" w:bidi="ar-SA"/>
                    </w:rPr>
                  </w:pPr>
                  <w:r>
                    <w:rPr>
                      <w:rFonts w:hint="eastAsia" w:ascii="Times New Roman" w:hAnsi="Times New Roman" w:eastAsia="宋体" w:cs="Times New Roman"/>
                      <w:b/>
                      <w:bCs/>
                      <w:color w:val="FF0000"/>
                      <w:szCs w:val="21"/>
                      <w:highlight w:val="none"/>
                    </w:rPr>
                    <w:t>污染源</w:t>
                  </w:r>
                </w:p>
              </w:tc>
              <w:tc>
                <w:tcPr>
                  <w:tcW w:w="1662" w:type="dxa"/>
                  <w:vAlign w:val="center"/>
                </w:tcPr>
                <w:p>
                  <w:pPr>
                    <w:spacing w:line="240" w:lineRule="auto"/>
                    <w:jc w:val="center"/>
                    <w:rPr>
                      <w:rFonts w:hint="default" w:ascii="Times New Roman" w:hAnsi="Times New Roman" w:eastAsia="宋体" w:cs="Times New Roman"/>
                      <w:b/>
                      <w:bCs/>
                      <w:color w:val="FF0000"/>
                      <w:szCs w:val="21"/>
                      <w:highlight w:val="none"/>
                      <w:lang w:val="en-US" w:eastAsia="zh-CN"/>
                    </w:rPr>
                  </w:pPr>
                  <w:r>
                    <w:rPr>
                      <w:rFonts w:hint="eastAsia" w:ascii="Times New Roman" w:hAnsi="Times New Roman" w:eastAsia="宋体" w:cs="Times New Roman"/>
                      <w:b/>
                      <w:bCs/>
                      <w:color w:val="FF0000"/>
                      <w:szCs w:val="21"/>
                      <w:highlight w:val="none"/>
                      <w:lang w:val="en-US" w:eastAsia="zh-CN"/>
                    </w:rPr>
                    <w:t>环保</w:t>
                  </w:r>
                  <w:r>
                    <w:rPr>
                      <w:rFonts w:hint="eastAsia" w:ascii="Times New Roman" w:hAnsi="Times New Roman" w:eastAsia="宋体" w:cs="Times New Roman"/>
                      <w:b/>
                      <w:bCs/>
                      <w:color w:val="FF0000"/>
                      <w:szCs w:val="21"/>
                      <w:highlight w:val="none"/>
                    </w:rPr>
                    <w:t>措施</w:t>
                  </w:r>
                </w:p>
              </w:tc>
              <w:tc>
                <w:tcPr>
                  <w:tcW w:w="1150" w:type="dxa"/>
                  <w:vAlign w:val="center"/>
                </w:tcPr>
                <w:p>
                  <w:pPr>
                    <w:spacing w:line="240" w:lineRule="auto"/>
                    <w:jc w:val="center"/>
                    <w:rPr>
                      <w:rFonts w:hint="eastAsia" w:ascii="Times New Roman" w:hAnsi="Times New Roman" w:eastAsia="宋体" w:cs="Times New Roman"/>
                      <w:b/>
                      <w:bCs/>
                      <w:color w:val="FF0000"/>
                      <w:szCs w:val="21"/>
                      <w:highlight w:val="none"/>
                    </w:rPr>
                  </w:pPr>
                  <w:r>
                    <w:rPr>
                      <w:rFonts w:hint="eastAsia" w:ascii="Times New Roman" w:hAnsi="Times New Roman" w:eastAsia="宋体" w:cs="Times New Roman"/>
                      <w:b/>
                      <w:bCs/>
                      <w:color w:val="FF0000"/>
                      <w:szCs w:val="21"/>
                      <w:highlight w:val="none"/>
                    </w:rPr>
                    <w:t>环保投资（万元）</w:t>
                  </w:r>
                </w:p>
              </w:tc>
              <w:tc>
                <w:tcPr>
                  <w:tcW w:w="1024" w:type="dxa"/>
                  <w:vAlign w:val="center"/>
                </w:tcPr>
                <w:p>
                  <w:pPr>
                    <w:spacing w:line="240" w:lineRule="auto"/>
                    <w:jc w:val="center"/>
                    <w:rPr>
                      <w:rFonts w:hint="default" w:ascii="Times New Roman" w:hAnsi="Times New Roman" w:eastAsia="宋体" w:cs="Times New Roman"/>
                      <w:b/>
                      <w:bCs/>
                      <w:color w:val="FF0000"/>
                      <w:kern w:val="2"/>
                      <w:sz w:val="21"/>
                      <w:szCs w:val="21"/>
                      <w:highlight w:val="none"/>
                      <w:lang w:val="en-US" w:eastAsia="zh-CN" w:bidi="ar-SA"/>
                    </w:rPr>
                  </w:pPr>
                  <w:r>
                    <w:rPr>
                      <w:rFonts w:hint="default" w:ascii="Times New Roman" w:hAnsi="Times New Roman" w:eastAsia="宋体" w:cs="Times New Roman"/>
                      <w:b/>
                      <w:bCs/>
                      <w:color w:val="FF0000"/>
                      <w:szCs w:val="21"/>
                      <w:highlight w:val="none"/>
                      <w:lang w:eastAsia="zh-CN"/>
                    </w:rPr>
                    <w:t>监测因子、</w:t>
                  </w:r>
                </w:p>
              </w:tc>
              <w:tc>
                <w:tcPr>
                  <w:tcW w:w="1151" w:type="dxa"/>
                  <w:vAlign w:val="center"/>
                </w:tcPr>
                <w:p>
                  <w:pPr>
                    <w:spacing w:line="240" w:lineRule="auto"/>
                    <w:jc w:val="center"/>
                    <w:rPr>
                      <w:rFonts w:hint="default" w:ascii="Times New Roman" w:hAnsi="Times New Roman" w:eastAsia="宋体" w:cs="Times New Roman"/>
                      <w:b/>
                      <w:bCs/>
                      <w:color w:val="FF0000"/>
                      <w:szCs w:val="21"/>
                      <w:highlight w:val="none"/>
                      <w:lang w:eastAsia="zh-CN"/>
                    </w:rPr>
                  </w:pPr>
                  <w:r>
                    <w:rPr>
                      <w:rFonts w:hint="default" w:ascii="Times New Roman" w:hAnsi="Times New Roman" w:eastAsia="宋体" w:cs="Times New Roman"/>
                      <w:b/>
                      <w:bCs/>
                      <w:color w:val="FF0000"/>
                      <w:szCs w:val="21"/>
                      <w:highlight w:val="none"/>
                    </w:rPr>
                    <w:t>监测点位</w:t>
                  </w:r>
                </w:p>
              </w:tc>
              <w:tc>
                <w:tcPr>
                  <w:tcW w:w="1151" w:type="dxa"/>
                  <w:vAlign w:val="center"/>
                </w:tcPr>
                <w:p>
                  <w:pPr>
                    <w:spacing w:line="240" w:lineRule="auto"/>
                    <w:jc w:val="center"/>
                    <w:rPr>
                      <w:rFonts w:hint="default" w:ascii="Times New Roman" w:hAnsi="Times New Roman" w:eastAsia="宋体" w:cs="Times New Roman"/>
                      <w:b/>
                      <w:bCs/>
                      <w:color w:val="FF0000"/>
                      <w:kern w:val="2"/>
                      <w:sz w:val="21"/>
                      <w:szCs w:val="21"/>
                      <w:highlight w:val="none"/>
                      <w:lang w:val="en-US" w:eastAsia="zh-CN" w:bidi="ar-SA"/>
                    </w:rPr>
                  </w:pPr>
                  <w:r>
                    <w:rPr>
                      <w:rFonts w:hint="eastAsia" w:ascii="Times New Roman" w:hAnsi="Times New Roman" w:eastAsia="宋体" w:cs="Times New Roman"/>
                      <w:b/>
                      <w:bCs/>
                      <w:color w:val="FF0000"/>
                      <w:szCs w:val="21"/>
                      <w:highlight w:val="none"/>
                      <w:lang w:val="en-US" w:eastAsia="zh-CN"/>
                    </w:rPr>
                    <w:t>验收</w:t>
                  </w:r>
                  <w:r>
                    <w:rPr>
                      <w:rFonts w:hint="eastAsia" w:ascii="Times New Roman" w:hAnsi="Times New Roman" w:eastAsia="宋体" w:cs="Times New Roman"/>
                      <w:b/>
                      <w:bCs/>
                      <w:color w:val="FF0000"/>
                      <w:szCs w:val="21"/>
                      <w:highlight w:val="none"/>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restart"/>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废气</w:t>
                  </w:r>
                </w:p>
              </w:tc>
              <w:tc>
                <w:tcPr>
                  <w:tcW w:w="1375"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水煮、烘干、炒制工序</w:t>
                  </w:r>
                </w:p>
              </w:tc>
              <w:tc>
                <w:tcPr>
                  <w:tcW w:w="1662"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布袋除尘器+15m高排气筒</w:t>
                  </w:r>
                </w:p>
              </w:tc>
              <w:tc>
                <w:tcPr>
                  <w:tcW w:w="1150"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14</w:t>
                  </w:r>
                </w:p>
              </w:tc>
              <w:tc>
                <w:tcPr>
                  <w:tcW w:w="1024" w:type="dxa"/>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颗粒物、</w:t>
                  </w:r>
                  <w:r>
                    <w:rPr>
                      <w:rFonts w:hint="default" w:ascii="Times New Roman" w:hAnsi="Times New Roman" w:eastAsia="宋体" w:cs="Times New Roman"/>
                      <w:color w:val="FF0000"/>
                      <w:sz w:val="21"/>
                      <w:szCs w:val="21"/>
                      <w:highlight w:val="none"/>
                      <w:vertAlign w:val="baseline"/>
                      <w:lang w:val="en-US" w:eastAsia="zh-CN"/>
                    </w:rPr>
                    <w:t>SO2</w:t>
                  </w:r>
                  <w:r>
                    <w:rPr>
                      <w:rFonts w:hint="eastAsia" w:ascii="Times New Roman" w:hAnsi="Times New Roman" w:eastAsia="宋体" w:cs="Times New Roman"/>
                      <w:color w:val="FF0000"/>
                      <w:sz w:val="21"/>
                      <w:szCs w:val="21"/>
                      <w:highlight w:val="none"/>
                      <w:vertAlign w:val="baseline"/>
                      <w:lang w:val="en-US" w:eastAsia="zh-CN"/>
                    </w:rPr>
                    <w:t>、</w:t>
                  </w:r>
                  <w:r>
                    <w:rPr>
                      <w:rFonts w:hint="default" w:ascii="Times New Roman" w:hAnsi="Times New Roman" w:eastAsia="宋体" w:cs="Times New Roman"/>
                      <w:color w:val="FF0000"/>
                      <w:sz w:val="21"/>
                      <w:szCs w:val="21"/>
                      <w:highlight w:val="none"/>
                      <w:vertAlign w:val="baseline"/>
                      <w:lang w:val="en-US" w:eastAsia="zh-CN"/>
                    </w:rPr>
                    <w:t>NOX</w:t>
                  </w:r>
                </w:p>
              </w:tc>
              <w:tc>
                <w:tcPr>
                  <w:tcW w:w="1151" w:type="dxa"/>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排气筒</w:t>
                  </w:r>
                </w:p>
              </w:tc>
              <w:tc>
                <w:tcPr>
                  <w:tcW w:w="1151" w:type="dxa"/>
                  <w:vMerge w:val="restart"/>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w:t>
                  </w:r>
                  <w:r>
                    <w:rPr>
                      <w:rFonts w:hint="default" w:ascii="Times New Roman" w:hAnsi="Times New Roman" w:eastAsia="宋体" w:cs="Times New Roman"/>
                      <w:color w:val="FF0000"/>
                      <w:sz w:val="21"/>
                      <w:szCs w:val="21"/>
                      <w:highlight w:val="none"/>
                      <w:vertAlign w:val="baseline"/>
                      <w:lang w:val="en-US" w:eastAsia="zh-CN"/>
                    </w:rPr>
                    <w:t>大气污染物综合排放标准》（GB16297-1996）表2新污染源二级标准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c>
                <w:tcPr>
                  <w:tcW w:w="1375"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筛选</w:t>
                  </w:r>
                  <w:r>
                    <w:rPr>
                      <w:rFonts w:hint="eastAsia" w:ascii="Times New Roman" w:hAnsi="Times New Roman" w:eastAsia="宋体" w:cs="Times New Roman"/>
                      <w:color w:val="FF0000"/>
                      <w:sz w:val="21"/>
                      <w:szCs w:val="21"/>
                      <w:highlight w:val="none"/>
                      <w:vertAlign w:val="baseline"/>
                      <w:lang w:val="en-US" w:eastAsia="zh-CN"/>
                    </w:rPr>
                    <w:t>、脱皮</w:t>
                  </w:r>
                  <w:r>
                    <w:rPr>
                      <w:rFonts w:hint="default" w:ascii="Times New Roman" w:hAnsi="Times New Roman" w:eastAsia="宋体" w:cs="Times New Roman"/>
                      <w:color w:val="FF0000"/>
                      <w:sz w:val="21"/>
                      <w:szCs w:val="21"/>
                      <w:highlight w:val="none"/>
                      <w:vertAlign w:val="baseline"/>
                      <w:lang w:val="en-US" w:eastAsia="zh-CN"/>
                    </w:rPr>
                    <w:t>工序</w:t>
                  </w:r>
                </w:p>
              </w:tc>
              <w:tc>
                <w:tcPr>
                  <w:tcW w:w="1662"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设备自带收尘装置</w:t>
                  </w:r>
                </w:p>
              </w:tc>
              <w:tc>
                <w:tcPr>
                  <w:tcW w:w="1150"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0.5</w:t>
                  </w:r>
                </w:p>
              </w:tc>
              <w:tc>
                <w:tcPr>
                  <w:tcW w:w="1024"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颗粒物</w:t>
                  </w:r>
                </w:p>
              </w:tc>
              <w:tc>
                <w:tcPr>
                  <w:tcW w:w="1151"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厂界上风向1个点位、下风向3个点位；西北侧居民房</w:t>
                  </w:r>
                </w:p>
              </w:tc>
              <w:tc>
                <w:tcPr>
                  <w:tcW w:w="1151"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c>
                <w:tcPr>
                  <w:tcW w:w="1375"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瓜子水煮、辣椒烘干工序</w:t>
                  </w:r>
                </w:p>
              </w:tc>
              <w:tc>
                <w:tcPr>
                  <w:tcW w:w="1662"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厂房通风</w:t>
                  </w:r>
                </w:p>
              </w:tc>
              <w:tc>
                <w:tcPr>
                  <w:tcW w:w="1150"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0</w:t>
                  </w:r>
                </w:p>
              </w:tc>
              <w:tc>
                <w:tcPr>
                  <w:tcW w:w="1024" w:type="dxa"/>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香料异味、辛辣气味</w:t>
                  </w:r>
                </w:p>
              </w:tc>
              <w:tc>
                <w:tcPr>
                  <w:tcW w:w="1151" w:type="dxa"/>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w:t>
                  </w:r>
                </w:p>
              </w:tc>
              <w:tc>
                <w:tcPr>
                  <w:tcW w:w="1151"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dxa"/>
                  <w:vAlign w:val="center"/>
                </w:tcPr>
                <w:p>
                  <w:pPr>
                    <w:bidi w:val="0"/>
                    <w:spacing w:line="240" w:lineRule="auto"/>
                    <w:jc w:val="center"/>
                    <w:rPr>
                      <w:rFonts w:hint="eastAsia"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废水</w:t>
                  </w:r>
                </w:p>
              </w:tc>
              <w:tc>
                <w:tcPr>
                  <w:tcW w:w="1375" w:type="dxa"/>
                  <w:vAlign w:val="center"/>
                </w:tcPr>
                <w:p>
                  <w:pPr>
                    <w:bidi w:val="0"/>
                    <w:spacing w:line="240" w:lineRule="auto"/>
                    <w:jc w:val="center"/>
                    <w:rPr>
                      <w:rFonts w:hint="eastAsia"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生活污水</w:t>
                  </w:r>
                </w:p>
              </w:tc>
              <w:tc>
                <w:tcPr>
                  <w:tcW w:w="1662"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防渗化粪池</w:t>
                  </w:r>
                </w:p>
              </w:tc>
              <w:tc>
                <w:tcPr>
                  <w:tcW w:w="1150" w:type="dxa"/>
                  <w:vAlign w:val="center"/>
                </w:tcPr>
                <w:p>
                  <w:pPr>
                    <w:bidi w:val="0"/>
                    <w:spacing w:line="240" w:lineRule="auto"/>
                    <w:jc w:val="center"/>
                    <w:rPr>
                      <w:rFonts w:hint="eastAsia"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1</w:t>
                  </w:r>
                </w:p>
              </w:tc>
              <w:tc>
                <w:tcPr>
                  <w:tcW w:w="1024" w:type="dxa"/>
                  <w:vAlign w:val="center"/>
                </w:tcPr>
                <w:p>
                  <w:pPr>
                    <w:bidi w:val="0"/>
                    <w:spacing w:line="240" w:lineRule="auto"/>
                    <w:jc w:val="center"/>
                    <w:rPr>
                      <w:rFonts w:hint="default"/>
                      <w:color w:val="FF0000"/>
                      <w:sz w:val="21"/>
                      <w:szCs w:val="21"/>
                      <w:highlight w:val="none"/>
                      <w:vertAlign w:val="baseline"/>
                    </w:rPr>
                  </w:pPr>
                  <w:r>
                    <w:rPr>
                      <w:rFonts w:hint="default" w:ascii="Times New Roman" w:hAnsi="Times New Roman" w:eastAsia="宋体" w:cs="Times New Roman"/>
                      <w:color w:val="FF0000"/>
                      <w:sz w:val="24"/>
                      <w:szCs w:val="24"/>
                      <w:highlight w:val="none"/>
                    </w:rPr>
                    <w:t>COD</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BOD</w:t>
                  </w:r>
                  <w:r>
                    <w:rPr>
                      <w:rFonts w:hint="default" w:ascii="Times New Roman" w:hAnsi="Times New Roman" w:eastAsia="宋体" w:cs="Times New Roman"/>
                      <w:color w:val="FF0000"/>
                      <w:sz w:val="24"/>
                      <w:szCs w:val="24"/>
                      <w:highlight w:val="none"/>
                      <w:vertAlign w:val="subscript"/>
                    </w:rPr>
                    <w:t>5</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SS</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NH</w:t>
                  </w:r>
                  <w:r>
                    <w:rPr>
                      <w:rFonts w:hint="default" w:ascii="Times New Roman" w:hAnsi="Times New Roman" w:eastAsia="宋体" w:cs="Times New Roman"/>
                      <w:color w:val="FF0000"/>
                      <w:sz w:val="24"/>
                      <w:szCs w:val="24"/>
                      <w:highlight w:val="none"/>
                      <w:vertAlign w:val="subscript"/>
                    </w:rPr>
                    <w:t>3</w:t>
                  </w:r>
                  <w:r>
                    <w:rPr>
                      <w:rFonts w:hint="default" w:ascii="Times New Roman" w:hAnsi="Times New Roman" w:eastAsia="宋体" w:cs="Times New Roman"/>
                      <w:color w:val="FF0000"/>
                      <w:sz w:val="24"/>
                      <w:szCs w:val="24"/>
                      <w:highlight w:val="none"/>
                    </w:rPr>
                    <w:t>-N</w:t>
                  </w:r>
                </w:p>
              </w:tc>
              <w:tc>
                <w:tcPr>
                  <w:tcW w:w="1151"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ascii="Times New Roman" w:hAnsi="Times New Roman" w:eastAsia="宋体" w:cs="Times New Roman"/>
                      <w:color w:val="FF0000"/>
                      <w:szCs w:val="21"/>
                      <w:highlight w:val="none"/>
                      <w:lang w:val="en-US" w:eastAsia="zh-CN"/>
                    </w:rPr>
                    <w:t>--</w:t>
                  </w:r>
                </w:p>
              </w:tc>
              <w:tc>
                <w:tcPr>
                  <w:tcW w:w="1151" w:type="dxa"/>
                  <w:vAlign w:val="center"/>
                </w:tcPr>
                <w:p>
                  <w:pPr>
                    <w:bidi w:val="0"/>
                    <w:spacing w:line="240" w:lineRule="auto"/>
                    <w:jc w:val="center"/>
                    <w:rPr>
                      <w:rFonts w:hint="default"/>
                      <w:color w:val="FF0000"/>
                      <w:sz w:val="21"/>
                      <w:szCs w:val="21"/>
                      <w:highlight w:val="none"/>
                      <w:vertAlign w:val="baseline"/>
                    </w:rPr>
                  </w:pPr>
                  <w:r>
                    <w:rPr>
                      <w:rFonts w:hint="default"/>
                      <w:color w:val="FF0000"/>
                      <w:sz w:val="21"/>
                      <w:szCs w:val="21"/>
                      <w:highlight w:val="none"/>
                      <w:vertAlign w:val="baseline"/>
                    </w:rPr>
                    <w:t>《污水综合排放标准》（GB8978-1996）表4中三级标准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restart"/>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噪声</w:t>
                  </w:r>
                </w:p>
              </w:tc>
              <w:tc>
                <w:tcPr>
                  <w:tcW w:w="1375" w:type="dxa"/>
                  <w:vMerge w:val="restart"/>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筛选机、</w:t>
                  </w:r>
                  <w:r>
                    <w:rPr>
                      <w:rFonts w:hint="eastAsia" w:ascii="Times New Roman" w:hAnsi="Times New Roman" w:eastAsia="宋体" w:cs="Times New Roman"/>
                      <w:color w:val="FF0000"/>
                      <w:sz w:val="21"/>
                      <w:szCs w:val="21"/>
                      <w:highlight w:val="none"/>
                      <w:vertAlign w:val="baseline"/>
                      <w:lang w:val="en-US" w:eastAsia="zh-CN"/>
                    </w:rPr>
                    <w:t>干炒</w:t>
                  </w:r>
                  <w:r>
                    <w:rPr>
                      <w:rFonts w:hint="default" w:ascii="Times New Roman" w:hAnsi="Times New Roman" w:eastAsia="宋体" w:cs="Times New Roman"/>
                      <w:color w:val="FF0000"/>
                      <w:sz w:val="21"/>
                      <w:szCs w:val="21"/>
                      <w:highlight w:val="none"/>
                      <w:vertAlign w:val="baseline"/>
                      <w:lang w:val="en-US" w:eastAsia="zh-CN"/>
                    </w:rPr>
                    <w:t>机、风机等设备</w:t>
                  </w:r>
                </w:p>
              </w:tc>
              <w:tc>
                <w:tcPr>
                  <w:tcW w:w="1662" w:type="dxa"/>
                  <w:vMerge w:val="restart"/>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基础减震、厂房隔声</w:t>
                  </w:r>
                </w:p>
              </w:tc>
              <w:tc>
                <w:tcPr>
                  <w:tcW w:w="1150" w:type="dxa"/>
                  <w:vMerge w:val="restart"/>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1</w:t>
                  </w:r>
                </w:p>
              </w:tc>
              <w:tc>
                <w:tcPr>
                  <w:tcW w:w="1024" w:type="dxa"/>
                  <w:vMerge w:val="restart"/>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等效连续A声级</w:t>
                  </w:r>
                </w:p>
              </w:tc>
              <w:tc>
                <w:tcPr>
                  <w:tcW w:w="1151"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厂界四周</w:t>
                  </w:r>
                </w:p>
              </w:tc>
              <w:tc>
                <w:tcPr>
                  <w:tcW w:w="1151"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continue"/>
                  <w:vAlign w:val="center"/>
                </w:tcPr>
                <w:p>
                  <w:pPr>
                    <w:bidi w:val="0"/>
                    <w:spacing w:line="240" w:lineRule="auto"/>
                    <w:jc w:val="center"/>
                    <w:rPr>
                      <w:rFonts w:hint="eastAsia" w:ascii="Times New Roman" w:hAnsi="Times New Roman" w:eastAsia="宋体" w:cs="Times New Roman"/>
                      <w:color w:val="FF0000"/>
                      <w:sz w:val="21"/>
                      <w:szCs w:val="21"/>
                      <w:highlight w:val="none"/>
                      <w:vertAlign w:val="baseline"/>
                      <w:lang w:val="en-US" w:eastAsia="zh-CN"/>
                    </w:rPr>
                  </w:pPr>
                </w:p>
              </w:tc>
              <w:tc>
                <w:tcPr>
                  <w:tcW w:w="1375"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c>
                <w:tcPr>
                  <w:tcW w:w="1662"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c>
                <w:tcPr>
                  <w:tcW w:w="1150"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c>
                <w:tcPr>
                  <w:tcW w:w="1024" w:type="dxa"/>
                  <w:vMerge w:val="continue"/>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p>
              </w:tc>
              <w:tc>
                <w:tcPr>
                  <w:tcW w:w="1151"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西北侧居民房</w:t>
                  </w:r>
                </w:p>
              </w:tc>
              <w:tc>
                <w:tcPr>
                  <w:tcW w:w="1151" w:type="dxa"/>
                  <w:vAlign w:val="center"/>
                </w:tcPr>
                <w:p>
                  <w:pPr>
                    <w:bidi w:val="0"/>
                    <w:spacing w:line="240" w:lineRule="auto"/>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《声环境质量标准》（GB3096-2008）中2类标准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restart"/>
                  <w:vAlign w:val="center"/>
                </w:tcPr>
                <w:p>
                  <w:pPr>
                    <w:bidi w:val="0"/>
                    <w:spacing w:line="240" w:lineRule="auto"/>
                    <w:jc w:val="center"/>
                    <w:rPr>
                      <w:rFonts w:hint="eastAsia"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固废</w:t>
                  </w:r>
                </w:p>
              </w:tc>
              <w:tc>
                <w:tcPr>
                  <w:tcW w:w="1375"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default"/>
                      <w:color w:val="FF0000"/>
                      <w:highlight w:val="none"/>
                      <w:vertAlign w:val="baseline"/>
                      <w:lang w:val="en-US" w:eastAsia="zh-CN" w:bidi="ar-SA"/>
                    </w:rPr>
                    <w:t>生活垃圾</w:t>
                  </w:r>
                </w:p>
              </w:tc>
              <w:tc>
                <w:tcPr>
                  <w:tcW w:w="1662" w:type="dxa"/>
                  <w:vMerge w:val="restart"/>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eastAsia"/>
                      <w:color w:val="FF0000"/>
                      <w:highlight w:val="none"/>
                      <w:lang w:val="en-US" w:eastAsia="zh-CN" w:bidi="ar-SA"/>
                    </w:rPr>
                    <w:t>委托环卫部门处置</w:t>
                  </w:r>
                </w:p>
              </w:tc>
              <w:tc>
                <w:tcPr>
                  <w:tcW w:w="1150"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0.5</w:t>
                  </w:r>
                </w:p>
              </w:tc>
              <w:tc>
                <w:tcPr>
                  <w:tcW w:w="1024" w:type="dxa"/>
                  <w:vAlign w:val="center"/>
                </w:tcPr>
                <w:p>
                  <w:pPr>
                    <w:bidi w:val="0"/>
                    <w:spacing w:line="240" w:lineRule="auto"/>
                    <w:jc w:val="center"/>
                    <w:rPr>
                      <w:rFonts w:hint="default"/>
                      <w:color w:val="FF0000"/>
                      <w:sz w:val="21"/>
                      <w:szCs w:val="21"/>
                      <w:highlight w:val="none"/>
                      <w:vertAlign w:val="baseline"/>
                    </w:rPr>
                  </w:pPr>
                  <w:r>
                    <w:rPr>
                      <w:rFonts w:hint="eastAsia" w:ascii="Times New Roman" w:hAnsi="Times New Roman" w:eastAsia="宋体" w:cs="Times New Roman"/>
                      <w:color w:val="FF0000"/>
                      <w:szCs w:val="21"/>
                      <w:highlight w:val="none"/>
                      <w:lang w:val="en-US" w:eastAsia="zh-CN"/>
                    </w:rPr>
                    <w:t>--</w:t>
                  </w:r>
                </w:p>
              </w:tc>
              <w:tc>
                <w:tcPr>
                  <w:tcW w:w="1151" w:type="dxa"/>
                  <w:vAlign w:val="center"/>
                </w:tcPr>
                <w:p>
                  <w:pPr>
                    <w:bidi w:val="0"/>
                    <w:spacing w:line="240" w:lineRule="auto"/>
                    <w:jc w:val="center"/>
                    <w:rPr>
                      <w:rFonts w:hint="default"/>
                      <w:color w:val="FF0000"/>
                      <w:sz w:val="21"/>
                      <w:szCs w:val="21"/>
                      <w:highlight w:val="none"/>
                      <w:vertAlign w:val="baseline"/>
                    </w:rPr>
                  </w:pPr>
                  <w:r>
                    <w:rPr>
                      <w:rFonts w:hint="eastAsia" w:ascii="Times New Roman" w:hAnsi="Times New Roman" w:eastAsia="宋体" w:cs="Times New Roman"/>
                      <w:color w:val="FF0000"/>
                      <w:szCs w:val="21"/>
                      <w:highlight w:val="none"/>
                      <w:lang w:val="en-US" w:eastAsia="zh-CN"/>
                    </w:rPr>
                    <w:t>--</w:t>
                  </w:r>
                </w:p>
              </w:tc>
              <w:tc>
                <w:tcPr>
                  <w:tcW w:w="1151" w:type="dxa"/>
                  <w:vMerge w:val="restart"/>
                  <w:vAlign w:val="center"/>
                </w:tcPr>
                <w:p>
                  <w:pPr>
                    <w:bidi w:val="0"/>
                    <w:spacing w:line="240" w:lineRule="auto"/>
                    <w:jc w:val="center"/>
                    <w:rPr>
                      <w:rFonts w:hint="default"/>
                      <w:color w:val="FF0000"/>
                      <w:sz w:val="21"/>
                      <w:szCs w:val="21"/>
                      <w:highlight w:val="none"/>
                      <w:vertAlign w:val="baseline"/>
                    </w:rPr>
                  </w:pPr>
                  <w:r>
                    <w:rPr>
                      <w:rFonts w:hint="default"/>
                      <w:color w:val="FF0000"/>
                      <w:sz w:val="21"/>
                      <w:szCs w:val="21"/>
                      <w:highlight w:val="none"/>
                      <w:vertAlign w:val="baseline"/>
                    </w:rPr>
                    <w:t>《一般工业固体废物贮存和填埋污染控制标准》（GB18599-2020）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continue"/>
                  <w:vAlign w:val="center"/>
                </w:tcPr>
                <w:p>
                  <w:pPr>
                    <w:bidi w:val="0"/>
                    <w:spacing w:line="240" w:lineRule="auto"/>
                    <w:jc w:val="center"/>
                    <w:rPr>
                      <w:rFonts w:hint="eastAsia"/>
                      <w:color w:val="FF0000"/>
                      <w:sz w:val="21"/>
                      <w:szCs w:val="21"/>
                      <w:highlight w:val="none"/>
                      <w:vertAlign w:val="baseline"/>
                      <w:lang w:val="en-US" w:eastAsia="zh-CN"/>
                    </w:rPr>
                  </w:pPr>
                </w:p>
              </w:tc>
              <w:tc>
                <w:tcPr>
                  <w:tcW w:w="1375"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default"/>
                      <w:color w:val="FF0000"/>
                      <w:highlight w:val="none"/>
                      <w:vertAlign w:val="baseline"/>
                      <w:lang w:val="en-US" w:eastAsia="zh-CN" w:bidi="ar-SA"/>
                    </w:rPr>
                    <w:t>水煮工序废辅料和底泥</w:t>
                  </w:r>
                </w:p>
              </w:tc>
              <w:tc>
                <w:tcPr>
                  <w:tcW w:w="1662" w:type="dxa"/>
                  <w:vMerge w:val="continue"/>
                  <w:vAlign w:val="center"/>
                </w:tcPr>
                <w:p>
                  <w:pPr>
                    <w:bidi w:val="0"/>
                    <w:spacing w:line="240" w:lineRule="auto"/>
                    <w:jc w:val="center"/>
                    <w:rPr>
                      <w:rFonts w:hint="default"/>
                      <w:color w:val="FF0000"/>
                      <w:sz w:val="21"/>
                      <w:szCs w:val="21"/>
                      <w:highlight w:val="none"/>
                      <w:vertAlign w:val="baseline"/>
                    </w:rPr>
                  </w:pPr>
                </w:p>
              </w:tc>
              <w:tc>
                <w:tcPr>
                  <w:tcW w:w="1150"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0.5</w:t>
                  </w:r>
                </w:p>
              </w:tc>
              <w:tc>
                <w:tcPr>
                  <w:tcW w:w="1024" w:type="dxa"/>
                  <w:vAlign w:val="center"/>
                </w:tcPr>
                <w:p>
                  <w:pPr>
                    <w:bidi w:val="0"/>
                    <w:spacing w:line="240" w:lineRule="auto"/>
                    <w:jc w:val="center"/>
                    <w:rPr>
                      <w:rFonts w:hint="default"/>
                      <w:color w:val="FF0000"/>
                      <w:sz w:val="21"/>
                      <w:szCs w:val="21"/>
                      <w:highlight w:val="none"/>
                      <w:vertAlign w:val="baseline"/>
                    </w:rPr>
                  </w:pPr>
                  <w:r>
                    <w:rPr>
                      <w:rFonts w:hint="eastAsia" w:ascii="Times New Roman" w:hAnsi="Times New Roman" w:eastAsia="宋体" w:cs="Times New Roman"/>
                      <w:color w:val="FF0000"/>
                      <w:szCs w:val="21"/>
                      <w:highlight w:val="none"/>
                      <w:lang w:val="en-US" w:eastAsia="zh-CN"/>
                    </w:rPr>
                    <w:t>--</w:t>
                  </w:r>
                </w:p>
              </w:tc>
              <w:tc>
                <w:tcPr>
                  <w:tcW w:w="1151" w:type="dxa"/>
                  <w:vAlign w:val="center"/>
                </w:tcPr>
                <w:p>
                  <w:pPr>
                    <w:bidi w:val="0"/>
                    <w:spacing w:line="240" w:lineRule="auto"/>
                    <w:jc w:val="center"/>
                    <w:rPr>
                      <w:rFonts w:hint="default"/>
                      <w:color w:val="FF0000"/>
                      <w:sz w:val="21"/>
                      <w:szCs w:val="21"/>
                      <w:highlight w:val="none"/>
                      <w:vertAlign w:val="baseline"/>
                    </w:rPr>
                  </w:pPr>
                  <w:r>
                    <w:rPr>
                      <w:rFonts w:hint="eastAsia" w:ascii="Times New Roman" w:hAnsi="Times New Roman" w:eastAsia="宋体" w:cs="Times New Roman"/>
                      <w:color w:val="FF0000"/>
                      <w:szCs w:val="21"/>
                      <w:highlight w:val="none"/>
                      <w:lang w:val="en-US" w:eastAsia="zh-CN"/>
                    </w:rPr>
                    <w:t>--</w:t>
                  </w:r>
                </w:p>
              </w:tc>
              <w:tc>
                <w:tcPr>
                  <w:tcW w:w="1151" w:type="dxa"/>
                  <w:vMerge w:val="continue"/>
                  <w:vAlign w:val="center"/>
                </w:tcPr>
                <w:p>
                  <w:pPr>
                    <w:bidi w:val="0"/>
                    <w:spacing w:line="240" w:lineRule="auto"/>
                    <w:jc w:val="center"/>
                    <w:rPr>
                      <w:rFonts w:hint="default"/>
                      <w:color w:val="FF0000"/>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continue"/>
                  <w:vAlign w:val="center"/>
                </w:tcPr>
                <w:p>
                  <w:pPr>
                    <w:bidi w:val="0"/>
                    <w:spacing w:line="240" w:lineRule="auto"/>
                    <w:jc w:val="center"/>
                    <w:rPr>
                      <w:rFonts w:hint="eastAsia"/>
                      <w:color w:val="FF0000"/>
                      <w:sz w:val="21"/>
                      <w:szCs w:val="21"/>
                      <w:highlight w:val="none"/>
                      <w:vertAlign w:val="baseline"/>
                      <w:lang w:val="en-US" w:eastAsia="zh-CN"/>
                    </w:rPr>
                  </w:pPr>
                </w:p>
              </w:tc>
              <w:tc>
                <w:tcPr>
                  <w:tcW w:w="1375"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default" w:ascii="Times New Roman" w:hAnsi="Times New Roman" w:cs="Times New Roman"/>
                      <w:color w:val="FF0000"/>
                      <w:highlight w:val="none"/>
                      <w:lang w:val="en-US" w:eastAsia="zh-CN" w:bidi="ar-SA"/>
                    </w:rPr>
                    <w:t>不合格瓜子</w:t>
                  </w:r>
                </w:p>
              </w:tc>
              <w:tc>
                <w:tcPr>
                  <w:tcW w:w="1662"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eastAsia"/>
                      <w:color w:val="FF0000"/>
                      <w:highlight w:val="none"/>
                      <w:lang w:val="en-US" w:eastAsia="zh-CN" w:bidi="ar-SA"/>
                    </w:rPr>
                    <w:t>用作水煮工序燃料</w:t>
                  </w:r>
                </w:p>
              </w:tc>
              <w:tc>
                <w:tcPr>
                  <w:tcW w:w="1150" w:type="dxa"/>
                  <w:vAlign w:val="center"/>
                </w:tcPr>
                <w:p>
                  <w:pPr>
                    <w:bidi w:val="0"/>
                    <w:spacing w:line="240" w:lineRule="auto"/>
                    <w:jc w:val="center"/>
                    <w:rPr>
                      <w:rFonts w:hint="eastAsia"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0</w:t>
                  </w:r>
                </w:p>
              </w:tc>
              <w:tc>
                <w:tcPr>
                  <w:tcW w:w="1024" w:type="dxa"/>
                  <w:vAlign w:val="center"/>
                </w:tcPr>
                <w:p>
                  <w:pPr>
                    <w:bidi w:val="0"/>
                    <w:spacing w:line="240" w:lineRule="auto"/>
                    <w:jc w:val="center"/>
                    <w:rPr>
                      <w:rFonts w:hint="default"/>
                      <w:color w:val="FF0000"/>
                      <w:sz w:val="21"/>
                      <w:szCs w:val="21"/>
                      <w:highlight w:val="none"/>
                      <w:vertAlign w:val="baseline"/>
                    </w:rPr>
                  </w:pPr>
                  <w:r>
                    <w:rPr>
                      <w:rFonts w:hint="eastAsia" w:ascii="Times New Roman" w:hAnsi="Times New Roman" w:eastAsia="宋体" w:cs="Times New Roman"/>
                      <w:color w:val="FF0000"/>
                      <w:szCs w:val="21"/>
                      <w:highlight w:val="none"/>
                      <w:lang w:val="en-US" w:eastAsia="zh-CN"/>
                    </w:rPr>
                    <w:t>--</w:t>
                  </w:r>
                </w:p>
              </w:tc>
              <w:tc>
                <w:tcPr>
                  <w:tcW w:w="1151" w:type="dxa"/>
                  <w:vAlign w:val="center"/>
                </w:tcPr>
                <w:p>
                  <w:pPr>
                    <w:bidi w:val="0"/>
                    <w:spacing w:line="240" w:lineRule="auto"/>
                    <w:jc w:val="center"/>
                    <w:rPr>
                      <w:rFonts w:hint="default"/>
                      <w:color w:val="FF0000"/>
                      <w:sz w:val="21"/>
                      <w:szCs w:val="21"/>
                      <w:highlight w:val="none"/>
                      <w:vertAlign w:val="baseline"/>
                    </w:rPr>
                  </w:pPr>
                  <w:r>
                    <w:rPr>
                      <w:rFonts w:hint="eastAsia" w:ascii="Times New Roman" w:hAnsi="Times New Roman" w:eastAsia="宋体" w:cs="Times New Roman"/>
                      <w:color w:val="FF0000"/>
                      <w:szCs w:val="21"/>
                      <w:highlight w:val="none"/>
                      <w:lang w:val="en-US" w:eastAsia="zh-CN"/>
                    </w:rPr>
                    <w:t>--</w:t>
                  </w:r>
                </w:p>
              </w:tc>
              <w:tc>
                <w:tcPr>
                  <w:tcW w:w="1151" w:type="dxa"/>
                  <w:vMerge w:val="continue"/>
                  <w:vAlign w:val="center"/>
                </w:tcPr>
                <w:p>
                  <w:pPr>
                    <w:bidi w:val="0"/>
                    <w:spacing w:line="240" w:lineRule="auto"/>
                    <w:jc w:val="center"/>
                    <w:rPr>
                      <w:rFonts w:hint="default"/>
                      <w:color w:val="FF0000"/>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dxa"/>
                  <w:vMerge w:val="continue"/>
                  <w:vAlign w:val="center"/>
                </w:tcPr>
                <w:p>
                  <w:pPr>
                    <w:bidi w:val="0"/>
                    <w:spacing w:line="240" w:lineRule="auto"/>
                    <w:jc w:val="center"/>
                    <w:rPr>
                      <w:rFonts w:hint="eastAsia"/>
                      <w:color w:val="FF0000"/>
                      <w:sz w:val="21"/>
                      <w:szCs w:val="21"/>
                      <w:highlight w:val="none"/>
                      <w:vertAlign w:val="baseline"/>
                      <w:lang w:val="en-US" w:eastAsia="zh-CN"/>
                    </w:rPr>
                  </w:pPr>
                </w:p>
              </w:tc>
              <w:tc>
                <w:tcPr>
                  <w:tcW w:w="1375"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default" w:ascii="Times New Roman" w:hAnsi="Times New Roman" w:cs="Times New Roman"/>
                      <w:color w:val="FF0000"/>
                      <w:highlight w:val="none"/>
                      <w:lang w:val="en-US" w:eastAsia="zh-CN" w:bidi="ar-SA"/>
                    </w:rPr>
                    <w:t>不合格辣椒、辣椒梗及石子、砂砾等杂质</w:t>
                  </w:r>
                </w:p>
              </w:tc>
              <w:tc>
                <w:tcPr>
                  <w:tcW w:w="1662"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eastAsia"/>
                      <w:color w:val="FF0000"/>
                      <w:highlight w:val="none"/>
                      <w:lang w:val="en-US" w:eastAsia="zh-CN" w:bidi="ar-SA"/>
                    </w:rPr>
                    <w:t>委托环卫部门处置</w:t>
                  </w:r>
                </w:p>
              </w:tc>
              <w:tc>
                <w:tcPr>
                  <w:tcW w:w="1150"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0.5</w:t>
                  </w:r>
                </w:p>
              </w:tc>
              <w:tc>
                <w:tcPr>
                  <w:tcW w:w="1024" w:type="dxa"/>
                  <w:vAlign w:val="center"/>
                </w:tcPr>
                <w:p>
                  <w:pPr>
                    <w:bidi w:val="0"/>
                    <w:spacing w:line="240" w:lineRule="auto"/>
                    <w:jc w:val="center"/>
                    <w:rPr>
                      <w:rFonts w:hint="default" w:ascii="Times New Roman" w:hAnsi="Times New Roman" w:eastAsia="宋体" w:cs="Times New Roman"/>
                      <w:color w:val="FF0000"/>
                      <w:kern w:val="2"/>
                      <w:sz w:val="21"/>
                      <w:szCs w:val="21"/>
                      <w:highlight w:val="none"/>
                      <w:vertAlign w:val="baseline"/>
                      <w:lang w:val="en-US" w:eastAsia="zh-CN" w:bidi="ar-SA"/>
                    </w:rPr>
                  </w:pPr>
                  <w:r>
                    <w:rPr>
                      <w:rFonts w:hint="eastAsia" w:ascii="Times New Roman" w:hAnsi="Times New Roman" w:eastAsia="宋体" w:cs="Times New Roman"/>
                      <w:color w:val="FF0000"/>
                      <w:szCs w:val="21"/>
                      <w:highlight w:val="none"/>
                      <w:lang w:val="en-US" w:eastAsia="zh-CN"/>
                    </w:rPr>
                    <w:t>--</w:t>
                  </w:r>
                </w:p>
              </w:tc>
              <w:tc>
                <w:tcPr>
                  <w:tcW w:w="1151" w:type="dxa"/>
                  <w:vAlign w:val="center"/>
                </w:tcPr>
                <w:p>
                  <w:pPr>
                    <w:bidi w:val="0"/>
                    <w:spacing w:line="240" w:lineRule="auto"/>
                    <w:jc w:val="center"/>
                    <w:rPr>
                      <w:rFonts w:hint="default" w:ascii="Times New Roman" w:hAnsi="Times New Roman" w:eastAsia="宋体" w:cs="Times New Roman"/>
                      <w:color w:val="FF0000"/>
                      <w:kern w:val="2"/>
                      <w:sz w:val="21"/>
                      <w:szCs w:val="21"/>
                      <w:highlight w:val="none"/>
                      <w:vertAlign w:val="baseline"/>
                      <w:lang w:val="en-US" w:eastAsia="zh-CN" w:bidi="ar-SA"/>
                    </w:rPr>
                  </w:pPr>
                  <w:r>
                    <w:rPr>
                      <w:rFonts w:hint="eastAsia" w:ascii="Times New Roman" w:hAnsi="Times New Roman" w:eastAsia="宋体" w:cs="Times New Roman"/>
                      <w:color w:val="FF0000"/>
                      <w:szCs w:val="21"/>
                      <w:highlight w:val="none"/>
                      <w:lang w:val="en-US" w:eastAsia="zh-CN"/>
                    </w:rPr>
                    <w:t>--</w:t>
                  </w:r>
                </w:p>
              </w:tc>
              <w:tc>
                <w:tcPr>
                  <w:tcW w:w="1151" w:type="dxa"/>
                  <w:vMerge w:val="continue"/>
                  <w:vAlign w:val="center"/>
                </w:tcPr>
                <w:p>
                  <w:pPr>
                    <w:bidi w:val="0"/>
                    <w:spacing w:line="240" w:lineRule="auto"/>
                    <w:jc w:val="center"/>
                    <w:rPr>
                      <w:rFonts w:hint="default"/>
                      <w:color w:val="FF0000"/>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dxa"/>
                  <w:vMerge w:val="continue"/>
                  <w:vAlign w:val="center"/>
                </w:tcPr>
                <w:p>
                  <w:pPr>
                    <w:bidi w:val="0"/>
                    <w:spacing w:line="240" w:lineRule="auto"/>
                    <w:jc w:val="center"/>
                    <w:rPr>
                      <w:rFonts w:hint="eastAsia"/>
                      <w:color w:val="FF0000"/>
                      <w:sz w:val="21"/>
                      <w:szCs w:val="21"/>
                      <w:highlight w:val="none"/>
                      <w:vertAlign w:val="baseline"/>
                      <w:lang w:val="en-US" w:eastAsia="zh-CN"/>
                    </w:rPr>
                  </w:pPr>
                </w:p>
              </w:tc>
              <w:tc>
                <w:tcPr>
                  <w:tcW w:w="1375"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default" w:ascii="Times New Roman" w:hAnsi="Times New Roman" w:cs="Times New Roman"/>
                      <w:color w:val="FF0000"/>
                      <w:highlight w:val="none"/>
                      <w:lang w:val="en-US" w:eastAsia="zh-CN" w:bidi="ar-SA"/>
                    </w:rPr>
                    <w:t>除尘灰</w:t>
                  </w:r>
                </w:p>
              </w:tc>
              <w:tc>
                <w:tcPr>
                  <w:tcW w:w="1662" w:type="dxa"/>
                  <w:vMerge w:val="restart"/>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default"/>
                      <w:color w:val="FF0000"/>
                      <w:highlight w:val="none"/>
                      <w:vertAlign w:val="baseline"/>
                      <w:lang w:val="en-US" w:eastAsia="zh-CN" w:bidi="ar-SA"/>
                    </w:rPr>
                    <w:t>外售有机肥厂制作肥料</w:t>
                  </w:r>
                </w:p>
              </w:tc>
              <w:tc>
                <w:tcPr>
                  <w:tcW w:w="1150"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0.5</w:t>
                  </w:r>
                </w:p>
              </w:tc>
              <w:tc>
                <w:tcPr>
                  <w:tcW w:w="1024" w:type="dxa"/>
                  <w:vAlign w:val="center"/>
                </w:tcPr>
                <w:p>
                  <w:pPr>
                    <w:bidi w:val="0"/>
                    <w:spacing w:line="240" w:lineRule="auto"/>
                    <w:jc w:val="center"/>
                    <w:rPr>
                      <w:rFonts w:hint="default" w:ascii="Times New Roman" w:hAnsi="Times New Roman" w:eastAsia="宋体" w:cs="Times New Roman"/>
                      <w:color w:val="FF0000"/>
                      <w:kern w:val="2"/>
                      <w:sz w:val="21"/>
                      <w:szCs w:val="21"/>
                      <w:highlight w:val="none"/>
                      <w:vertAlign w:val="baseline"/>
                      <w:lang w:val="en-US" w:eastAsia="zh-CN" w:bidi="ar-SA"/>
                    </w:rPr>
                  </w:pPr>
                  <w:r>
                    <w:rPr>
                      <w:rFonts w:hint="eastAsia" w:ascii="Times New Roman" w:hAnsi="Times New Roman" w:eastAsia="宋体" w:cs="Times New Roman"/>
                      <w:color w:val="FF0000"/>
                      <w:szCs w:val="21"/>
                      <w:highlight w:val="none"/>
                      <w:lang w:val="en-US" w:eastAsia="zh-CN"/>
                    </w:rPr>
                    <w:t>--</w:t>
                  </w:r>
                </w:p>
              </w:tc>
              <w:tc>
                <w:tcPr>
                  <w:tcW w:w="0" w:type="auto"/>
                  <w:vAlign w:val="center"/>
                </w:tcPr>
                <w:p>
                  <w:pPr>
                    <w:bidi w:val="0"/>
                    <w:spacing w:line="240" w:lineRule="auto"/>
                    <w:jc w:val="center"/>
                    <w:rPr>
                      <w:rFonts w:hint="default" w:ascii="Times New Roman" w:hAnsi="Times New Roman" w:eastAsia="宋体" w:cs="Times New Roman"/>
                      <w:color w:val="FF0000"/>
                      <w:kern w:val="2"/>
                      <w:sz w:val="21"/>
                      <w:szCs w:val="21"/>
                      <w:highlight w:val="none"/>
                      <w:vertAlign w:val="baseline"/>
                      <w:lang w:val="en-US" w:eastAsia="zh-CN" w:bidi="ar-SA"/>
                    </w:rPr>
                  </w:pPr>
                  <w:r>
                    <w:rPr>
                      <w:rFonts w:hint="eastAsia" w:ascii="Times New Roman" w:hAnsi="Times New Roman" w:eastAsia="宋体" w:cs="Times New Roman"/>
                      <w:color w:val="FF0000"/>
                      <w:szCs w:val="21"/>
                      <w:highlight w:val="none"/>
                      <w:lang w:val="en-US" w:eastAsia="zh-CN"/>
                    </w:rPr>
                    <w:t>--</w:t>
                  </w:r>
                </w:p>
              </w:tc>
              <w:tc>
                <w:tcPr>
                  <w:tcW w:w="1151" w:type="dxa"/>
                  <w:vMerge w:val="continue"/>
                  <w:vAlign w:val="center"/>
                </w:tcPr>
                <w:p>
                  <w:pPr>
                    <w:bidi w:val="0"/>
                    <w:spacing w:line="240" w:lineRule="auto"/>
                    <w:jc w:val="center"/>
                    <w:rPr>
                      <w:rFonts w:hint="default"/>
                      <w:color w:val="FF0000"/>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37" w:type="dxa"/>
                  <w:vMerge w:val="continue"/>
                  <w:vAlign w:val="center"/>
                </w:tcPr>
                <w:p>
                  <w:pPr>
                    <w:bidi w:val="0"/>
                    <w:spacing w:line="240" w:lineRule="auto"/>
                    <w:jc w:val="center"/>
                    <w:rPr>
                      <w:rFonts w:hint="eastAsia"/>
                      <w:color w:val="FF0000"/>
                      <w:sz w:val="21"/>
                      <w:szCs w:val="21"/>
                      <w:highlight w:val="none"/>
                      <w:vertAlign w:val="baseline"/>
                      <w:lang w:val="en-US" w:eastAsia="zh-CN"/>
                    </w:rPr>
                  </w:pPr>
                </w:p>
              </w:tc>
              <w:tc>
                <w:tcPr>
                  <w:tcW w:w="1375" w:type="dxa"/>
                  <w:vAlign w:val="center"/>
                </w:tcPr>
                <w:p>
                  <w:pPr>
                    <w:pStyle w:val="39"/>
                    <w:bidi w:val="0"/>
                    <w:spacing w:line="240" w:lineRule="auto"/>
                    <w:ind w:firstLine="0" w:firstLineChars="0"/>
                    <w:jc w:val="center"/>
                    <w:rPr>
                      <w:rFonts w:hint="default" w:ascii="Times New Roman" w:hAnsi="Times New Roman" w:eastAsia="宋体" w:cs="Times New Roman"/>
                      <w:color w:val="FF0000"/>
                      <w:sz w:val="21"/>
                      <w:highlight w:val="none"/>
                      <w:vertAlign w:val="baseline"/>
                      <w:lang w:val="en-US" w:eastAsia="zh-CN" w:bidi="ar-SA"/>
                    </w:rPr>
                  </w:pPr>
                  <w:r>
                    <w:rPr>
                      <w:rFonts w:hint="eastAsia" w:cs="Times New Roman"/>
                      <w:color w:val="FF0000"/>
                      <w:highlight w:val="none"/>
                      <w:lang w:val="en-US" w:eastAsia="zh-CN" w:bidi="ar-SA"/>
                    </w:rPr>
                    <w:t>生物质燃料灰渣</w:t>
                  </w:r>
                </w:p>
              </w:tc>
              <w:tc>
                <w:tcPr>
                  <w:tcW w:w="1662" w:type="dxa"/>
                  <w:vMerge w:val="continue"/>
                  <w:vAlign w:val="center"/>
                </w:tcPr>
                <w:p>
                  <w:pPr>
                    <w:bidi w:val="0"/>
                    <w:spacing w:line="240" w:lineRule="auto"/>
                    <w:jc w:val="center"/>
                    <w:rPr>
                      <w:rFonts w:hint="default"/>
                      <w:color w:val="FF0000"/>
                      <w:sz w:val="21"/>
                      <w:szCs w:val="21"/>
                      <w:highlight w:val="none"/>
                      <w:vertAlign w:val="baseline"/>
                    </w:rPr>
                  </w:pPr>
                </w:p>
              </w:tc>
              <w:tc>
                <w:tcPr>
                  <w:tcW w:w="1150" w:type="dxa"/>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0.5</w:t>
                  </w:r>
                </w:p>
              </w:tc>
              <w:tc>
                <w:tcPr>
                  <w:tcW w:w="1024" w:type="dxa"/>
                  <w:vAlign w:val="center"/>
                </w:tcPr>
                <w:p>
                  <w:pPr>
                    <w:bidi w:val="0"/>
                    <w:spacing w:line="240" w:lineRule="auto"/>
                    <w:jc w:val="center"/>
                    <w:rPr>
                      <w:rFonts w:hint="default" w:ascii="Times New Roman" w:hAnsi="Times New Roman" w:eastAsia="宋体" w:cs="Times New Roman"/>
                      <w:color w:val="FF0000"/>
                      <w:kern w:val="2"/>
                      <w:sz w:val="21"/>
                      <w:szCs w:val="21"/>
                      <w:highlight w:val="none"/>
                      <w:vertAlign w:val="baseline"/>
                      <w:lang w:val="en-US" w:eastAsia="zh-CN" w:bidi="ar-SA"/>
                    </w:rPr>
                  </w:pPr>
                  <w:r>
                    <w:rPr>
                      <w:rFonts w:hint="eastAsia" w:ascii="Times New Roman" w:hAnsi="Times New Roman" w:eastAsia="宋体" w:cs="Times New Roman"/>
                      <w:color w:val="FF0000"/>
                      <w:szCs w:val="21"/>
                      <w:highlight w:val="none"/>
                      <w:lang w:val="en-US" w:eastAsia="zh-CN"/>
                    </w:rPr>
                    <w:t>--</w:t>
                  </w:r>
                </w:p>
              </w:tc>
              <w:tc>
                <w:tcPr>
                  <w:tcW w:w="0" w:type="auto"/>
                  <w:vAlign w:val="center"/>
                </w:tcPr>
                <w:p>
                  <w:pPr>
                    <w:bidi w:val="0"/>
                    <w:spacing w:line="240" w:lineRule="auto"/>
                    <w:jc w:val="center"/>
                    <w:rPr>
                      <w:rFonts w:hint="default" w:ascii="Times New Roman" w:hAnsi="Times New Roman" w:eastAsia="宋体" w:cs="Times New Roman"/>
                      <w:color w:val="FF0000"/>
                      <w:kern w:val="2"/>
                      <w:sz w:val="21"/>
                      <w:szCs w:val="21"/>
                      <w:highlight w:val="none"/>
                      <w:vertAlign w:val="baseline"/>
                      <w:lang w:val="en-US" w:eastAsia="zh-CN" w:bidi="ar-SA"/>
                    </w:rPr>
                  </w:pPr>
                  <w:r>
                    <w:rPr>
                      <w:rFonts w:hint="eastAsia" w:ascii="Times New Roman" w:hAnsi="Times New Roman" w:eastAsia="宋体" w:cs="Times New Roman"/>
                      <w:color w:val="FF0000"/>
                      <w:szCs w:val="21"/>
                      <w:highlight w:val="none"/>
                      <w:lang w:val="en-US" w:eastAsia="zh-CN"/>
                    </w:rPr>
                    <w:t>--</w:t>
                  </w:r>
                </w:p>
              </w:tc>
              <w:tc>
                <w:tcPr>
                  <w:tcW w:w="1151" w:type="dxa"/>
                  <w:vMerge w:val="continue"/>
                  <w:vAlign w:val="center"/>
                </w:tcPr>
                <w:p>
                  <w:pPr>
                    <w:bidi w:val="0"/>
                    <w:spacing w:line="240" w:lineRule="auto"/>
                    <w:jc w:val="center"/>
                    <w:rPr>
                      <w:rFonts w:hint="default"/>
                      <w:color w:val="FF0000"/>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3574" w:type="dxa"/>
                  <w:gridSpan w:val="3"/>
                  <w:vAlign w:val="center"/>
                </w:tcPr>
                <w:p>
                  <w:pPr>
                    <w:bidi w:val="0"/>
                    <w:spacing w:line="240" w:lineRule="auto"/>
                    <w:jc w:val="center"/>
                    <w:rPr>
                      <w:rFonts w:hint="eastAsia"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合计</w:t>
                  </w:r>
                </w:p>
              </w:tc>
              <w:tc>
                <w:tcPr>
                  <w:tcW w:w="4476" w:type="dxa"/>
                  <w:gridSpan w:val="4"/>
                  <w:vAlign w:val="center"/>
                </w:tcPr>
                <w:p>
                  <w:pPr>
                    <w:bidi w:val="0"/>
                    <w:spacing w:line="240" w:lineRule="auto"/>
                    <w:jc w:val="center"/>
                    <w:rPr>
                      <w:rFonts w:hint="default" w:eastAsia="宋体"/>
                      <w:color w:val="FF0000"/>
                      <w:sz w:val="21"/>
                      <w:szCs w:val="21"/>
                      <w:highlight w:val="none"/>
                      <w:vertAlign w:val="baseline"/>
                      <w:lang w:val="en-US" w:eastAsia="zh-CN"/>
                    </w:rPr>
                  </w:pPr>
                  <w:r>
                    <w:rPr>
                      <w:rFonts w:hint="eastAsia"/>
                      <w:color w:val="FF0000"/>
                      <w:sz w:val="21"/>
                      <w:szCs w:val="21"/>
                      <w:highlight w:val="none"/>
                      <w:vertAlign w:val="baseline"/>
                      <w:lang w:val="en-US" w:eastAsia="zh-CN"/>
                    </w:rPr>
                    <w:t>19</w:t>
                  </w:r>
                </w:p>
              </w:tc>
            </w:tr>
          </w:tbl>
          <w:p>
            <w:pPr>
              <w:bidi w:val="0"/>
              <w:rPr>
                <w:rFonts w:hint="default" w:ascii="Times New Roman" w:hAnsi="Times New Roman" w:eastAsia="宋体" w:cs="Times New Roman"/>
                <w:bCs/>
                <w:color w:val="auto"/>
                <w:sz w:val="24"/>
                <w:lang w:val="en-US" w:eastAsia="zh-CN"/>
              </w:rPr>
            </w:pPr>
          </w:p>
        </w:tc>
      </w:tr>
    </w:tbl>
    <w:p>
      <w:pPr>
        <w:adjustRightInd w:val="0"/>
        <w:snapToGrid w:val="0"/>
        <w:rPr>
          <w:b/>
          <w:color w:val="auto"/>
          <w:kern w:val="0"/>
          <w:sz w:val="28"/>
          <w:szCs w:val="28"/>
        </w:rPr>
        <w:sectPr>
          <w:pgSz w:w="11907" w:h="16840"/>
          <w:pgMar w:top="1701" w:right="1531" w:bottom="2127" w:left="1531" w:header="851" w:footer="851" w:gutter="0"/>
          <w:pgNumType w:fmt="decimal"/>
          <w:cols w:space="720" w:num="1"/>
          <w:docGrid w:linePitch="312" w:charSpace="0"/>
        </w:sectPr>
      </w:pPr>
    </w:p>
    <w:p>
      <w:pPr>
        <w:pStyle w:val="20"/>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五、</w:t>
      </w:r>
      <w:bookmarkStart w:id="4" w:name="_Hlk54167917"/>
      <w:r>
        <w:rPr>
          <w:rFonts w:ascii="Times New Roman" w:hAnsi="Times New Roman" w:eastAsia="黑体"/>
          <w:snapToGrid w:val="0"/>
          <w:color w:val="auto"/>
          <w:sz w:val="30"/>
          <w:szCs w:val="30"/>
        </w:rPr>
        <w:t>环境保护措施监督检查清单</w:t>
      </w:r>
      <w:bookmarkEnd w:id="4"/>
    </w:p>
    <w:tbl>
      <w:tblPr>
        <w:tblStyle w:val="23"/>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1778"/>
        <w:gridCol w:w="1779"/>
        <w:gridCol w:w="1697"/>
        <w:gridCol w:w="20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tcBorders>
              <w:tl2br w:val="single" w:color="auto" w:sz="4" w:space="0"/>
            </w:tcBorders>
            <w:noWrap w:val="0"/>
            <w:vAlign w:val="top"/>
          </w:tcPr>
          <w:p>
            <w:pPr>
              <w:adjustRightInd w:val="0"/>
              <w:snapToGrid w:val="0"/>
              <w:spacing w:line="240" w:lineRule="auto"/>
              <w:ind w:firstLine="840"/>
              <w:rPr>
                <w:color w:val="auto"/>
                <w:sz w:val="24"/>
              </w:rPr>
            </w:pPr>
            <w:r>
              <w:rPr>
                <w:color w:val="auto"/>
                <w:sz w:val="24"/>
              </w:rPr>
              <w:t>内容</w:t>
            </w:r>
          </w:p>
          <w:p>
            <w:pPr>
              <w:adjustRightInd w:val="0"/>
              <w:snapToGrid w:val="0"/>
              <w:spacing w:line="240" w:lineRule="auto"/>
              <w:rPr>
                <w:color w:val="auto"/>
                <w:sz w:val="24"/>
              </w:rPr>
            </w:pPr>
            <w:r>
              <w:rPr>
                <w:color w:val="auto"/>
                <w:sz w:val="24"/>
              </w:rPr>
              <w:t>要素</w:t>
            </w:r>
          </w:p>
        </w:tc>
        <w:tc>
          <w:tcPr>
            <w:tcW w:w="1778" w:type="dxa"/>
            <w:noWrap w:val="0"/>
            <w:vAlign w:val="center"/>
          </w:tcPr>
          <w:p>
            <w:pPr>
              <w:adjustRightInd w:val="0"/>
              <w:snapToGrid w:val="0"/>
              <w:spacing w:line="240" w:lineRule="auto"/>
              <w:jc w:val="center"/>
              <w:rPr>
                <w:color w:val="auto"/>
                <w:sz w:val="24"/>
              </w:rPr>
            </w:pPr>
            <w:r>
              <w:rPr>
                <w:color w:val="auto"/>
                <w:sz w:val="24"/>
              </w:rPr>
              <w:t>排放口(编号、名称)/污染源</w:t>
            </w:r>
          </w:p>
        </w:tc>
        <w:tc>
          <w:tcPr>
            <w:tcW w:w="1779" w:type="dxa"/>
            <w:noWrap w:val="0"/>
            <w:vAlign w:val="center"/>
          </w:tcPr>
          <w:p>
            <w:pPr>
              <w:adjustRightInd w:val="0"/>
              <w:snapToGrid w:val="0"/>
              <w:spacing w:line="240" w:lineRule="auto"/>
              <w:jc w:val="center"/>
              <w:rPr>
                <w:color w:val="auto"/>
                <w:sz w:val="24"/>
              </w:rPr>
            </w:pPr>
            <w:r>
              <w:rPr>
                <w:color w:val="auto"/>
                <w:sz w:val="24"/>
              </w:rPr>
              <w:t>污染物项目</w:t>
            </w:r>
          </w:p>
        </w:tc>
        <w:tc>
          <w:tcPr>
            <w:tcW w:w="1697" w:type="dxa"/>
            <w:noWrap w:val="0"/>
            <w:vAlign w:val="center"/>
          </w:tcPr>
          <w:p>
            <w:pPr>
              <w:adjustRightInd w:val="0"/>
              <w:snapToGrid w:val="0"/>
              <w:spacing w:line="240" w:lineRule="auto"/>
              <w:jc w:val="center"/>
              <w:rPr>
                <w:color w:val="auto"/>
                <w:sz w:val="24"/>
              </w:rPr>
            </w:pPr>
            <w:r>
              <w:rPr>
                <w:color w:val="auto"/>
                <w:sz w:val="24"/>
              </w:rPr>
              <w:t>环境保护措施</w:t>
            </w:r>
          </w:p>
        </w:tc>
        <w:tc>
          <w:tcPr>
            <w:tcW w:w="2016" w:type="dxa"/>
            <w:noWrap w:val="0"/>
            <w:vAlign w:val="center"/>
          </w:tcPr>
          <w:p>
            <w:pPr>
              <w:adjustRightInd w:val="0"/>
              <w:snapToGrid w:val="0"/>
              <w:spacing w:line="240" w:lineRule="auto"/>
              <w:jc w:val="center"/>
              <w:rPr>
                <w:color w:val="auto"/>
                <w:sz w:val="24"/>
              </w:rPr>
            </w:pPr>
            <w:r>
              <w:rPr>
                <w:color w:val="auto"/>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vMerge w:val="restart"/>
            <w:noWrap w:val="0"/>
            <w:vAlign w:val="center"/>
          </w:tcPr>
          <w:p>
            <w:pPr>
              <w:adjustRightInd w:val="0"/>
              <w:snapToGrid w:val="0"/>
              <w:spacing w:line="240" w:lineRule="auto"/>
              <w:jc w:val="center"/>
              <w:rPr>
                <w:color w:val="auto"/>
                <w:sz w:val="24"/>
              </w:rPr>
            </w:pPr>
            <w:r>
              <w:rPr>
                <w:color w:val="auto"/>
                <w:sz w:val="24"/>
              </w:rPr>
              <w:t>大气环境</w:t>
            </w:r>
          </w:p>
        </w:tc>
        <w:tc>
          <w:tcPr>
            <w:tcW w:w="1778"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筛选</w:t>
            </w:r>
            <w:r>
              <w:rPr>
                <w:rFonts w:hint="eastAsia" w:cs="Times New Roman"/>
                <w:color w:val="auto"/>
                <w:kern w:val="0"/>
                <w:sz w:val="24"/>
                <w:szCs w:val="24"/>
                <w:highlight w:val="none"/>
                <w:lang w:val="en-US" w:eastAsia="zh-CN"/>
              </w:rPr>
              <w:t>、脱皮</w:t>
            </w:r>
            <w:r>
              <w:rPr>
                <w:rFonts w:hint="default" w:ascii="Times New Roman" w:hAnsi="Times New Roman" w:eastAsia="宋体" w:cs="Times New Roman"/>
                <w:color w:val="auto"/>
                <w:kern w:val="0"/>
                <w:sz w:val="24"/>
                <w:szCs w:val="24"/>
                <w:highlight w:val="none"/>
                <w:lang w:val="en-US" w:eastAsia="zh-CN"/>
              </w:rPr>
              <w:t>工序</w:t>
            </w:r>
          </w:p>
        </w:tc>
        <w:tc>
          <w:tcPr>
            <w:tcW w:w="177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颗粒物</w:t>
            </w:r>
          </w:p>
        </w:tc>
        <w:tc>
          <w:tcPr>
            <w:tcW w:w="169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设备自带收尘装置</w:t>
            </w:r>
          </w:p>
        </w:tc>
        <w:tc>
          <w:tcPr>
            <w:tcW w:w="2016"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de-DE"/>
              </w:rPr>
              <w:t>《大气污染物</w:t>
            </w:r>
            <w:r>
              <w:rPr>
                <w:rFonts w:hint="default" w:ascii="Times New Roman" w:hAnsi="Times New Roman" w:eastAsia="宋体" w:cs="Times New Roman"/>
                <w:color w:val="auto"/>
                <w:kern w:val="0"/>
                <w:sz w:val="24"/>
                <w:szCs w:val="24"/>
                <w:highlight w:val="none"/>
                <w:lang w:val="de-DE" w:eastAsia="zh-CN"/>
              </w:rPr>
              <w:t>综合</w:t>
            </w:r>
            <w:r>
              <w:rPr>
                <w:rFonts w:hint="default" w:ascii="Times New Roman" w:hAnsi="Times New Roman" w:eastAsia="宋体" w:cs="Times New Roman"/>
                <w:color w:val="auto"/>
                <w:kern w:val="0"/>
                <w:sz w:val="24"/>
                <w:szCs w:val="24"/>
                <w:highlight w:val="none"/>
                <w:lang w:val="de-DE"/>
              </w:rPr>
              <w:t>排放标准》（GB</w:t>
            </w:r>
            <w:r>
              <w:rPr>
                <w:rFonts w:hint="default" w:ascii="Times New Roman" w:hAnsi="Times New Roman" w:eastAsia="宋体" w:cs="Times New Roman"/>
                <w:color w:val="auto"/>
                <w:kern w:val="0"/>
                <w:sz w:val="24"/>
                <w:szCs w:val="24"/>
                <w:highlight w:val="none"/>
                <w:lang w:val="en-US" w:eastAsia="zh-CN"/>
              </w:rPr>
              <w:t>16297</w:t>
            </w:r>
            <w:r>
              <w:rPr>
                <w:rFonts w:hint="default" w:ascii="Times New Roman" w:hAnsi="Times New Roman" w:eastAsia="宋体" w:cs="Times New Roman"/>
                <w:color w:val="auto"/>
                <w:kern w:val="0"/>
                <w:sz w:val="24"/>
                <w:szCs w:val="24"/>
                <w:highlight w:val="none"/>
                <w:lang w:val="de-DE"/>
              </w:rPr>
              <w:t>-</w:t>
            </w:r>
            <w:r>
              <w:rPr>
                <w:rFonts w:hint="default" w:ascii="Times New Roman" w:hAnsi="Times New Roman" w:eastAsia="宋体" w:cs="Times New Roman"/>
                <w:color w:val="auto"/>
                <w:kern w:val="0"/>
                <w:sz w:val="24"/>
                <w:szCs w:val="24"/>
                <w:highlight w:val="none"/>
                <w:lang w:val="en-US" w:eastAsia="zh-CN"/>
              </w:rPr>
              <w:t>1996</w:t>
            </w:r>
            <w:r>
              <w:rPr>
                <w:rFonts w:hint="default" w:ascii="Times New Roman" w:hAnsi="Times New Roman" w:eastAsia="宋体" w:cs="Times New Roman"/>
                <w:color w:val="auto"/>
                <w:kern w:val="0"/>
                <w:sz w:val="24"/>
                <w:szCs w:val="24"/>
                <w:highlight w:val="none"/>
                <w:lang w:val="de-D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vMerge w:val="continue"/>
            <w:noWrap w:val="0"/>
            <w:vAlign w:val="center"/>
          </w:tcPr>
          <w:p>
            <w:pPr>
              <w:adjustRightInd w:val="0"/>
              <w:snapToGrid w:val="0"/>
              <w:spacing w:line="240" w:lineRule="auto"/>
              <w:jc w:val="center"/>
              <w:rPr>
                <w:color w:val="auto"/>
                <w:sz w:val="24"/>
              </w:rPr>
            </w:pPr>
          </w:p>
        </w:tc>
        <w:tc>
          <w:tcPr>
            <w:tcW w:w="1778" w:type="dxa"/>
            <w:noWrap w:val="0"/>
            <w:vAlign w:val="center"/>
          </w:tcPr>
          <w:p>
            <w:pPr>
              <w:adjustRightInd w:val="0"/>
              <w:snapToGrid w:val="0"/>
              <w:spacing w:line="240" w:lineRule="auto"/>
              <w:jc w:val="center"/>
              <w:rPr>
                <w:rFonts w:hint="eastAsia"/>
                <w:color w:val="auto"/>
                <w:sz w:val="24"/>
                <w:lang w:val="en-US" w:eastAsia="zh-CN"/>
              </w:rPr>
            </w:pPr>
            <w:r>
              <w:rPr>
                <w:rFonts w:hint="eastAsia"/>
                <w:color w:val="auto"/>
                <w:sz w:val="24"/>
                <w:lang w:val="en-US" w:eastAsia="zh-CN"/>
              </w:rPr>
              <w:t>水煮、烘干、炒制工序</w:t>
            </w:r>
          </w:p>
        </w:tc>
        <w:tc>
          <w:tcPr>
            <w:tcW w:w="1779" w:type="dxa"/>
            <w:noWrap w:val="0"/>
            <w:vAlign w:val="center"/>
          </w:tcPr>
          <w:p>
            <w:pPr>
              <w:adjustRightInd w:val="0"/>
              <w:snapToGrid w:val="0"/>
              <w:spacing w:line="240" w:lineRule="auto"/>
              <w:jc w:val="center"/>
              <w:rPr>
                <w:color w:val="auto"/>
                <w:sz w:val="24"/>
                <w:highlight w:val="none"/>
              </w:rPr>
            </w:pPr>
            <w:r>
              <w:rPr>
                <w:rFonts w:hint="default" w:ascii="Times New Roman" w:hAnsi="Times New Roman" w:eastAsia="宋体" w:cs="Times New Roman"/>
                <w:color w:val="auto"/>
                <w:sz w:val="24"/>
                <w:szCs w:val="24"/>
                <w:highlight w:val="none"/>
                <w:lang w:eastAsia="zh-CN"/>
              </w:rPr>
              <w:t>颗粒物、二氧化硫、氮氧化物</w:t>
            </w:r>
          </w:p>
        </w:tc>
        <w:tc>
          <w:tcPr>
            <w:tcW w:w="169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布袋</w:t>
            </w:r>
            <w:r>
              <w:rPr>
                <w:rFonts w:hint="default" w:ascii="Times New Roman" w:hAnsi="Times New Roman" w:eastAsia="宋体" w:cs="Times New Roman"/>
                <w:color w:val="auto"/>
                <w:kern w:val="0"/>
                <w:sz w:val="24"/>
                <w:szCs w:val="24"/>
                <w:highlight w:val="none"/>
                <w:lang w:val="de-DE" w:eastAsia="zh-CN"/>
              </w:rPr>
              <w:t>除尘</w:t>
            </w:r>
            <w:r>
              <w:rPr>
                <w:rFonts w:hint="default" w:ascii="Times New Roman" w:hAnsi="Times New Roman" w:eastAsia="宋体" w:cs="Times New Roman"/>
                <w:color w:val="auto"/>
                <w:kern w:val="0"/>
                <w:sz w:val="24"/>
                <w:szCs w:val="24"/>
                <w:highlight w:val="none"/>
                <w:lang w:val="en-US" w:eastAsia="zh-CN"/>
              </w:rPr>
              <w:t>器</w:t>
            </w:r>
            <w:r>
              <w:rPr>
                <w:rFonts w:hint="eastAsia"/>
                <w:sz w:val="24"/>
                <w:szCs w:val="24"/>
                <w:highlight w:val="none"/>
                <w:lang w:val="en-US" w:eastAsia="zh-CN"/>
              </w:rPr>
              <w:t>+15m高排气筒</w:t>
            </w:r>
          </w:p>
        </w:tc>
        <w:tc>
          <w:tcPr>
            <w:tcW w:w="2016" w:type="dxa"/>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4"/>
                <w:szCs w:val="24"/>
                <w:highlight w:val="none"/>
                <w:lang w:val="de-D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vMerge w:val="continue"/>
            <w:noWrap w:val="0"/>
            <w:vAlign w:val="center"/>
          </w:tcPr>
          <w:p>
            <w:pPr>
              <w:adjustRightInd w:val="0"/>
              <w:snapToGrid w:val="0"/>
              <w:spacing w:line="240" w:lineRule="auto"/>
              <w:jc w:val="center"/>
              <w:rPr>
                <w:color w:val="auto"/>
                <w:sz w:val="24"/>
              </w:rPr>
            </w:pPr>
          </w:p>
        </w:tc>
        <w:tc>
          <w:tcPr>
            <w:tcW w:w="1778" w:type="dxa"/>
            <w:noWrap w:val="0"/>
            <w:vAlign w:val="center"/>
          </w:tcPr>
          <w:p>
            <w:pPr>
              <w:adjustRightInd w:val="0"/>
              <w:snapToGrid w:val="0"/>
              <w:spacing w:line="240" w:lineRule="auto"/>
              <w:jc w:val="center"/>
              <w:rPr>
                <w:rFonts w:hint="eastAsia"/>
                <w:color w:val="auto"/>
                <w:sz w:val="24"/>
                <w:lang w:val="en-US" w:eastAsia="zh-CN"/>
              </w:rPr>
            </w:pPr>
            <w:r>
              <w:rPr>
                <w:rFonts w:hint="eastAsia"/>
                <w:color w:val="auto"/>
                <w:sz w:val="24"/>
                <w:lang w:val="en-US" w:eastAsia="zh-CN"/>
              </w:rPr>
              <w:t>瓜子水煮、辣椒烘干工序</w:t>
            </w:r>
          </w:p>
        </w:tc>
        <w:tc>
          <w:tcPr>
            <w:tcW w:w="1779"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香料异味、辛辣气味</w:t>
            </w:r>
          </w:p>
        </w:tc>
        <w:tc>
          <w:tcPr>
            <w:tcW w:w="1697" w:type="dxa"/>
            <w:noWrap w:val="0"/>
            <w:vAlign w:val="center"/>
          </w:tcPr>
          <w:p>
            <w:pPr>
              <w:adjustRightInd w:val="0"/>
              <w:snapToGrid w:val="0"/>
              <w:spacing w:line="240" w:lineRule="auto"/>
              <w:jc w:val="center"/>
              <w:rPr>
                <w:rFonts w:hint="default" w:eastAsia="宋体"/>
                <w:color w:val="auto"/>
                <w:sz w:val="24"/>
                <w:lang w:val="en-US" w:eastAsia="zh-CN"/>
              </w:rPr>
            </w:pPr>
            <w:r>
              <w:rPr>
                <w:rFonts w:hint="eastAsia"/>
                <w:color w:val="auto"/>
                <w:sz w:val="24"/>
                <w:lang w:val="en-US" w:eastAsia="zh-CN"/>
              </w:rPr>
              <w:t>厂房通风</w:t>
            </w:r>
          </w:p>
        </w:tc>
        <w:tc>
          <w:tcPr>
            <w:tcW w:w="2016" w:type="dxa"/>
            <w:noWrap w:val="0"/>
            <w:vAlign w:val="center"/>
          </w:tcPr>
          <w:p>
            <w:pPr>
              <w:adjustRightInd w:val="0"/>
              <w:snapToGrid w:val="0"/>
              <w:spacing w:line="240" w:lineRule="auto"/>
              <w:jc w:val="center"/>
              <w:rPr>
                <w:rFonts w:hint="eastAsia" w:eastAsia="宋体"/>
                <w:color w:val="auto"/>
                <w:sz w:val="24"/>
                <w:lang w:val="en-US" w:eastAsia="zh-CN"/>
              </w:rPr>
            </w:pPr>
            <w:r>
              <w:rPr>
                <w:rFonts w:hint="eastAsia"/>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noWrap w:val="0"/>
            <w:vAlign w:val="center"/>
          </w:tcPr>
          <w:p>
            <w:pPr>
              <w:adjustRightInd w:val="0"/>
              <w:snapToGrid w:val="0"/>
              <w:spacing w:line="240" w:lineRule="auto"/>
              <w:jc w:val="center"/>
              <w:rPr>
                <w:color w:val="auto"/>
                <w:sz w:val="24"/>
              </w:rPr>
            </w:pPr>
            <w:r>
              <w:rPr>
                <w:color w:val="auto"/>
                <w:sz w:val="24"/>
              </w:rPr>
              <w:t>地表水环境</w:t>
            </w:r>
          </w:p>
        </w:tc>
        <w:tc>
          <w:tcPr>
            <w:tcW w:w="1778" w:type="dxa"/>
            <w:noWrap w:val="0"/>
            <w:vAlign w:val="center"/>
          </w:tcPr>
          <w:p>
            <w:pPr>
              <w:adjustRightInd w:val="0"/>
              <w:snapToGrid w:val="0"/>
              <w:spacing w:line="240" w:lineRule="auto"/>
              <w:jc w:val="center"/>
              <w:rPr>
                <w:rFonts w:hint="default"/>
                <w:color w:val="auto"/>
                <w:sz w:val="24"/>
                <w:lang w:val="en-US" w:eastAsia="zh-CN"/>
              </w:rPr>
            </w:pPr>
            <w:r>
              <w:rPr>
                <w:rFonts w:hint="default"/>
                <w:color w:val="auto"/>
                <w:sz w:val="24"/>
                <w:lang w:val="de-DE" w:eastAsia="zh-CN"/>
              </w:rPr>
              <w:t>生活污水</w:t>
            </w:r>
          </w:p>
        </w:tc>
        <w:tc>
          <w:tcPr>
            <w:tcW w:w="1779" w:type="dxa"/>
            <w:noWrap w:val="0"/>
            <w:vAlign w:val="center"/>
          </w:tcPr>
          <w:p>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COD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SS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w:t>
            </w:r>
          </w:p>
        </w:tc>
        <w:tc>
          <w:tcPr>
            <w:tcW w:w="1697"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化粪池</w:t>
            </w:r>
          </w:p>
        </w:tc>
        <w:tc>
          <w:tcPr>
            <w:tcW w:w="2016"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《地表水环境质量标</w:t>
            </w:r>
            <w:r>
              <w:rPr>
                <w:rFonts w:hint="eastAsia" w:cs="Times New Roman"/>
                <w:color w:val="auto"/>
                <w:sz w:val="24"/>
                <w:szCs w:val="24"/>
                <w:highlight w:val="none"/>
                <w:lang w:val="en-US" w:eastAsia="zh-CN"/>
              </w:rPr>
              <w:t>准</w:t>
            </w:r>
            <w:r>
              <w:rPr>
                <w:rFonts w:hint="default" w:ascii="Times New Roman" w:hAnsi="Times New Roman" w:eastAsia="宋体" w:cs="Times New Roman"/>
                <w:color w:val="auto"/>
                <w:sz w:val="24"/>
                <w:szCs w:val="24"/>
                <w:highlight w:val="none"/>
                <w:lang w:val="en-US" w:eastAsia="zh-CN"/>
              </w:rPr>
              <w:t>（GB3838-2002）</w:t>
            </w:r>
            <w:r>
              <w:rPr>
                <w:rFonts w:hint="eastAsia" w:ascii="Times New Roman" w:hAnsi="Times New Roman" w:eastAsia="宋体" w:cs="Times New Roman"/>
                <w:color w:val="auto"/>
                <w:sz w:val="24"/>
                <w:szCs w:val="24"/>
                <w:highlight w:val="none"/>
                <w:lang w:val="en-US" w:eastAsia="zh-CN"/>
              </w:rPr>
              <w:t>Ⅲ</w:t>
            </w:r>
            <w:r>
              <w:rPr>
                <w:rFonts w:hint="default" w:ascii="Times New Roman" w:hAnsi="Times New Roman" w:eastAsia="宋体" w:cs="Times New Roman"/>
                <w:color w:val="auto"/>
                <w:sz w:val="24"/>
                <w:szCs w:val="24"/>
                <w:highlight w:val="none"/>
                <w:lang w:val="en-US" w:eastAsia="zh-CN"/>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noWrap w:val="0"/>
            <w:vAlign w:val="center"/>
          </w:tcPr>
          <w:p>
            <w:pPr>
              <w:adjustRightInd w:val="0"/>
              <w:snapToGrid w:val="0"/>
              <w:spacing w:line="240" w:lineRule="auto"/>
              <w:jc w:val="center"/>
              <w:rPr>
                <w:color w:val="auto"/>
                <w:sz w:val="24"/>
              </w:rPr>
            </w:pPr>
            <w:r>
              <w:rPr>
                <w:color w:val="auto"/>
                <w:sz w:val="24"/>
              </w:rPr>
              <w:t>声环境</w:t>
            </w:r>
          </w:p>
        </w:tc>
        <w:tc>
          <w:tcPr>
            <w:tcW w:w="1778"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lang w:eastAsia="zh-CN"/>
              </w:rPr>
              <w:t>筛选机、</w:t>
            </w:r>
            <w:r>
              <w:rPr>
                <w:rFonts w:hint="eastAsia" w:cs="Times New Roman"/>
                <w:color w:val="auto"/>
                <w:sz w:val="24"/>
                <w:szCs w:val="24"/>
                <w:highlight w:val="none"/>
                <w:lang w:val="en-US" w:eastAsia="zh-CN"/>
              </w:rPr>
              <w:t>干炒</w:t>
            </w:r>
            <w:r>
              <w:rPr>
                <w:rFonts w:hint="default" w:ascii="Times New Roman" w:hAnsi="Times New Roman" w:eastAsia="宋体" w:cs="Times New Roman"/>
                <w:color w:val="auto"/>
                <w:sz w:val="24"/>
                <w:szCs w:val="24"/>
                <w:highlight w:val="none"/>
                <w:lang w:eastAsia="zh-CN"/>
              </w:rPr>
              <w:t>机、风机等设备</w:t>
            </w:r>
          </w:p>
        </w:tc>
        <w:tc>
          <w:tcPr>
            <w:tcW w:w="177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4"/>
                <w:szCs w:val="24"/>
                <w:highlight w:val="none"/>
                <w:vertAlign w:val="baseline"/>
                <w:lang w:val="en-US" w:eastAsia="zh-CN" w:bidi="ar-SA"/>
              </w:rPr>
            </w:pPr>
            <w:r>
              <w:rPr>
                <w:rFonts w:hint="default" w:cs="Times New Roman"/>
                <w:color w:val="FF0000"/>
                <w:sz w:val="24"/>
                <w:szCs w:val="24"/>
                <w:highlight w:val="none"/>
                <w:lang w:val="en-US" w:eastAsia="zh-CN"/>
              </w:rPr>
              <w:t>等效连续A声级</w:t>
            </w:r>
          </w:p>
        </w:tc>
        <w:tc>
          <w:tcPr>
            <w:tcW w:w="169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rPr>
              <w:t>基础减震措施</w:t>
            </w:r>
            <w:r>
              <w:rPr>
                <w:rFonts w:hint="default" w:ascii="Times New Roman" w:hAnsi="Times New Roman" w:eastAsia="宋体" w:cs="Times New Roman"/>
                <w:color w:val="auto"/>
                <w:sz w:val="24"/>
                <w:szCs w:val="24"/>
                <w:highlight w:val="none"/>
                <w:lang w:eastAsia="zh-CN"/>
              </w:rPr>
              <w:t>、隔声</w:t>
            </w:r>
          </w:p>
        </w:tc>
        <w:tc>
          <w:tcPr>
            <w:tcW w:w="201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FF0000"/>
                <w:sz w:val="24"/>
                <w:szCs w:val="24"/>
                <w:highlight w:val="none"/>
                <w:lang w:eastAsia="zh-CN"/>
              </w:rPr>
              <w:t>《工业企业厂界环境噪声排放标准》（GB12348-2008）</w:t>
            </w:r>
            <w:r>
              <w:rPr>
                <w:rFonts w:hint="default" w:ascii="Times New Roman" w:hAnsi="Times New Roman" w:eastAsia="宋体" w:cs="Times New Roman"/>
                <w:b w:val="0"/>
                <w:bCs w:val="0"/>
                <w:color w:val="FF0000"/>
                <w:sz w:val="24"/>
                <w:szCs w:val="24"/>
                <w:highlight w:val="none"/>
              </w:rPr>
              <w:t>2类标准</w:t>
            </w:r>
            <w:r>
              <w:rPr>
                <w:rFonts w:hint="eastAsia" w:cs="Times New Roman"/>
                <w:b w:val="0"/>
                <w:bCs w:val="0"/>
                <w:color w:val="FF0000"/>
                <w:sz w:val="24"/>
                <w:szCs w:val="24"/>
                <w:highlight w:val="none"/>
                <w:lang w:eastAsia="zh-CN"/>
              </w:rPr>
              <w:t>、</w:t>
            </w:r>
            <w:r>
              <w:rPr>
                <w:rFonts w:hint="default" w:ascii="Times New Roman" w:hAnsi="Times New Roman" w:eastAsia="宋体" w:cs="Times New Roman"/>
                <w:b w:val="0"/>
                <w:bCs w:val="0"/>
                <w:color w:val="FF0000"/>
                <w:sz w:val="24"/>
                <w:szCs w:val="24"/>
                <w:highlight w:val="none"/>
              </w:rPr>
              <w:t>《声环境质量标准》（GB3096-2008）中2类标准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noWrap w:val="0"/>
            <w:vAlign w:val="center"/>
          </w:tcPr>
          <w:p>
            <w:pPr>
              <w:adjustRightInd w:val="0"/>
              <w:snapToGrid w:val="0"/>
              <w:spacing w:line="240" w:lineRule="auto"/>
              <w:jc w:val="center"/>
              <w:rPr>
                <w:color w:val="auto"/>
                <w:sz w:val="24"/>
              </w:rPr>
            </w:pPr>
            <w:r>
              <w:rPr>
                <w:color w:val="auto"/>
                <w:sz w:val="24"/>
              </w:rPr>
              <w:t>电磁辐射</w:t>
            </w:r>
          </w:p>
        </w:tc>
        <w:tc>
          <w:tcPr>
            <w:tcW w:w="1778" w:type="dxa"/>
            <w:noWrap w:val="0"/>
            <w:vAlign w:val="center"/>
          </w:tcPr>
          <w:p>
            <w:pPr>
              <w:adjustRightInd w:val="0"/>
              <w:snapToGrid w:val="0"/>
              <w:spacing w:line="240" w:lineRule="auto"/>
              <w:jc w:val="center"/>
              <w:rPr>
                <w:color w:val="auto"/>
                <w:sz w:val="24"/>
              </w:rPr>
            </w:pPr>
            <w:r>
              <w:rPr>
                <w:color w:val="auto"/>
                <w:sz w:val="24"/>
              </w:rPr>
              <w:t>/</w:t>
            </w:r>
          </w:p>
        </w:tc>
        <w:tc>
          <w:tcPr>
            <w:tcW w:w="1779" w:type="dxa"/>
            <w:noWrap w:val="0"/>
            <w:vAlign w:val="center"/>
          </w:tcPr>
          <w:p>
            <w:pPr>
              <w:adjustRightInd w:val="0"/>
              <w:snapToGrid w:val="0"/>
              <w:spacing w:line="240" w:lineRule="auto"/>
              <w:jc w:val="center"/>
              <w:rPr>
                <w:color w:val="auto"/>
                <w:sz w:val="24"/>
              </w:rPr>
            </w:pPr>
            <w:r>
              <w:rPr>
                <w:color w:val="auto"/>
                <w:sz w:val="24"/>
              </w:rPr>
              <w:t>/</w:t>
            </w:r>
          </w:p>
        </w:tc>
        <w:tc>
          <w:tcPr>
            <w:tcW w:w="1697" w:type="dxa"/>
            <w:noWrap w:val="0"/>
            <w:vAlign w:val="center"/>
          </w:tcPr>
          <w:p>
            <w:pPr>
              <w:adjustRightInd w:val="0"/>
              <w:snapToGrid w:val="0"/>
              <w:spacing w:line="240" w:lineRule="auto"/>
              <w:jc w:val="center"/>
              <w:rPr>
                <w:color w:val="auto"/>
                <w:sz w:val="24"/>
              </w:rPr>
            </w:pPr>
            <w:r>
              <w:rPr>
                <w:color w:val="auto"/>
                <w:sz w:val="24"/>
              </w:rPr>
              <w:t>/</w:t>
            </w:r>
          </w:p>
        </w:tc>
        <w:tc>
          <w:tcPr>
            <w:tcW w:w="2016" w:type="dxa"/>
            <w:noWrap w:val="0"/>
            <w:vAlign w:val="center"/>
          </w:tcPr>
          <w:p>
            <w:pPr>
              <w:adjustRightInd w:val="0"/>
              <w:snapToGrid w:val="0"/>
              <w:spacing w:line="240" w:lineRule="auto"/>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noWrap w:val="0"/>
            <w:vAlign w:val="center"/>
          </w:tcPr>
          <w:p>
            <w:pPr>
              <w:adjustRightInd w:val="0"/>
              <w:snapToGrid w:val="0"/>
              <w:jc w:val="center"/>
              <w:rPr>
                <w:color w:val="auto"/>
                <w:sz w:val="24"/>
              </w:rPr>
            </w:pPr>
            <w:r>
              <w:rPr>
                <w:color w:val="auto"/>
                <w:sz w:val="24"/>
              </w:rPr>
              <w:t>固体废物</w:t>
            </w:r>
          </w:p>
        </w:tc>
        <w:tc>
          <w:tcPr>
            <w:tcW w:w="7270" w:type="dxa"/>
            <w:gridSpan w:val="4"/>
            <w:noWrap w:val="0"/>
            <w:vAlign w:val="center"/>
          </w:tcPr>
          <w:p>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rPr>
              <w:t>①</w:t>
            </w:r>
            <w:r>
              <w:rPr>
                <w:rFonts w:hint="eastAsia" w:ascii="Times New Roman" w:hAnsi="Times New Roman" w:eastAsia="宋体" w:cs="Times New Roman"/>
                <w:b w:val="0"/>
                <w:bCs w:val="0"/>
                <w:color w:val="auto"/>
                <w:sz w:val="24"/>
                <w:szCs w:val="24"/>
                <w:highlight w:val="none"/>
                <w:vertAlign w:val="baseline"/>
              </w:rPr>
              <w:t>职工生活垃圾由垃圾桶收集，委托环卫部门定期清运</w:t>
            </w:r>
            <w:r>
              <w:rPr>
                <w:rFonts w:hint="eastAsia" w:ascii="Times New Roman" w:hAnsi="Times New Roman" w:eastAsia="宋体" w:cs="Times New Roman"/>
                <w:b w:val="0"/>
                <w:bCs w:val="0"/>
                <w:color w:val="auto"/>
                <w:sz w:val="24"/>
                <w:szCs w:val="24"/>
                <w:highlight w:val="none"/>
                <w:vertAlign w:val="baseline"/>
                <w:lang w:val="en-US" w:eastAsia="zh-CN"/>
              </w:rPr>
              <w:t>；</w:t>
            </w:r>
          </w:p>
          <w:p>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b w:val="0"/>
                <w:bCs w:val="0"/>
                <w:color w:val="auto"/>
                <w:sz w:val="24"/>
                <w:szCs w:val="24"/>
                <w:highlight w:val="none"/>
                <w:vertAlign w:val="baseline"/>
                <w:lang w:eastAsia="zh-CN"/>
              </w:rPr>
            </w:pPr>
            <w:r>
              <w:rPr>
                <w:rFonts w:hint="eastAsia" w:ascii="微软雅黑" w:hAnsi="微软雅黑" w:eastAsia="微软雅黑" w:cs="微软雅黑"/>
                <w:b w:val="0"/>
                <w:bCs w:val="0"/>
                <w:color w:val="auto"/>
                <w:sz w:val="24"/>
                <w:szCs w:val="24"/>
                <w:highlight w:val="none"/>
                <w:vertAlign w:val="baseline"/>
              </w:rPr>
              <w:t>②</w:t>
            </w:r>
            <w:r>
              <w:rPr>
                <w:rFonts w:hint="eastAsia" w:ascii="Times New Roman" w:hAnsi="Times New Roman" w:eastAsia="宋体" w:cs="Times New Roman"/>
                <w:b w:val="0"/>
                <w:bCs w:val="0"/>
                <w:color w:val="auto"/>
                <w:sz w:val="24"/>
                <w:szCs w:val="24"/>
                <w:highlight w:val="none"/>
                <w:vertAlign w:val="baseline"/>
              </w:rPr>
              <w:t>筛选产生的不合格</w:t>
            </w:r>
            <w:r>
              <w:rPr>
                <w:rFonts w:hint="eastAsia" w:cs="Times New Roman"/>
                <w:b w:val="0"/>
                <w:bCs w:val="0"/>
                <w:color w:val="auto"/>
                <w:sz w:val="24"/>
                <w:szCs w:val="24"/>
                <w:highlight w:val="none"/>
                <w:vertAlign w:val="baseline"/>
                <w:lang w:val="en-US" w:eastAsia="zh-CN"/>
              </w:rPr>
              <w:t>瓜子</w:t>
            </w:r>
            <w:r>
              <w:rPr>
                <w:rFonts w:hint="eastAsia" w:ascii="Times New Roman" w:hAnsi="Times New Roman" w:eastAsia="宋体" w:cs="Times New Roman"/>
                <w:b w:val="0"/>
                <w:bCs w:val="0"/>
                <w:color w:val="auto"/>
                <w:sz w:val="24"/>
                <w:szCs w:val="24"/>
                <w:highlight w:val="none"/>
                <w:vertAlign w:val="baseline"/>
              </w:rPr>
              <w:t>收集后用于水煮工序燃</w:t>
            </w:r>
            <w:r>
              <w:rPr>
                <w:rFonts w:hint="eastAsia" w:cs="Times New Roman"/>
                <w:b w:val="0"/>
                <w:bCs w:val="0"/>
                <w:color w:val="auto"/>
                <w:sz w:val="24"/>
                <w:szCs w:val="24"/>
                <w:highlight w:val="none"/>
                <w:vertAlign w:val="baseline"/>
                <w:lang w:val="en-US" w:eastAsia="zh-CN"/>
              </w:rPr>
              <w:t>料</w:t>
            </w:r>
            <w:r>
              <w:rPr>
                <w:rFonts w:hint="eastAsia" w:ascii="Times New Roman" w:hAnsi="Times New Roman" w:eastAsia="宋体" w:cs="Times New Roman"/>
                <w:b w:val="0"/>
                <w:bCs w:val="0"/>
                <w:color w:val="auto"/>
                <w:sz w:val="24"/>
                <w:szCs w:val="24"/>
                <w:highlight w:val="none"/>
                <w:vertAlign w:val="baseline"/>
                <w:lang w:eastAsia="zh-CN"/>
              </w:rPr>
              <w:t>；</w:t>
            </w:r>
          </w:p>
          <w:p>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b w:val="0"/>
                <w:bCs w:val="0"/>
                <w:color w:val="auto"/>
                <w:sz w:val="24"/>
                <w:szCs w:val="24"/>
                <w:highlight w:val="none"/>
                <w:vertAlign w:val="baseline"/>
                <w:lang w:eastAsia="zh-CN"/>
              </w:rPr>
            </w:pPr>
            <w:r>
              <w:rPr>
                <w:rFonts w:hint="eastAsia" w:ascii="微软雅黑" w:hAnsi="微软雅黑" w:eastAsia="微软雅黑" w:cs="微软雅黑"/>
                <w:b w:val="0"/>
                <w:bCs w:val="0"/>
                <w:color w:val="auto"/>
                <w:sz w:val="24"/>
                <w:szCs w:val="24"/>
                <w:highlight w:val="none"/>
                <w:vertAlign w:val="baseline"/>
              </w:rPr>
              <w:t>③</w:t>
            </w:r>
            <w:r>
              <w:rPr>
                <w:rFonts w:hint="eastAsia" w:ascii="Times New Roman" w:hAnsi="Times New Roman" w:eastAsia="宋体" w:cs="Times New Roman"/>
                <w:b w:val="0"/>
                <w:bCs w:val="0"/>
                <w:color w:val="auto"/>
                <w:sz w:val="24"/>
                <w:szCs w:val="24"/>
                <w:highlight w:val="none"/>
                <w:vertAlign w:val="baseline"/>
              </w:rPr>
              <w:t>水煮工序产生的废八角、废桂皮等废辅料、水煮锅底泥沉淀、干燥后统一收集后委托环卫部门处置</w:t>
            </w:r>
            <w:r>
              <w:rPr>
                <w:rFonts w:hint="eastAsia" w:ascii="Times New Roman" w:hAnsi="Times New Roman" w:eastAsia="宋体" w:cs="Times New Roman"/>
                <w:b w:val="0"/>
                <w:bCs w:val="0"/>
                <w:color w:val="auto"/>
                <w:sz w:val="24"/>
                <w:szCs w:val="24"/>
                <w:highlight w:val="none"/>
                <w:vertAlign w:val="baseline"/>
                <w:lang w:eastAsia="zh-CN"/>
              </w:rPr>
              <w:t>；</w:t>
            </w:r>
          </w:p>
          <w:p>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b w:val="0"/>
                <w:bCs w:val="0"/>
                <w:color w:val="auto"/>
                <w:sz w:val="24"/>
                <w:szCs w:val="24"/>
                <w:highlight w:val="none"/>
                <w:vertAlign w:val="baseline"/>
                <w:lang w:eastAsia="zh-CN"/>
              </w:rPr>
            </w:pPr>
            <w:r>
              <w:rPr>
                <w:rFonts w:hint="eastAsia" w:ascii="微软雅黑" w:hAnsi="微软雅黑" w:eastAsia="微软雅黑" w:cs="微软雅黑"/>
                <w:b w:val="0"/>
                <w:bCs w:val="0"/>
                <w:color w:val="auto"/>
                <w:sz w:val="24"/>
                <w:szCs w:val="24"/>
                <w:highlight w:val="none"/>
                <w:vertAlign w:val="baseline"/>
              </w:rPr>
              <w:t>④</w:t>
            </w:r>
            <w:r>
              <w:rPr>
                <w:rFonts w:hint="eastAsia" w:ascii="Times New Roman" w:hAnsi="Times New Roman" w:eastAsia="宋体" w:cs="Times New Roman"/>
                <w:b w:val="0"/>
                <w:bCs w:val="0"/>
                <w:color w:val="auto"/>
                <w:sz w:val="24"/>
                <w:szCs w:val="24"/>
                <w:highlight w:val="none"/>
                <w:vertAlign w:val="baseline"/>
              </w:rPr>
              <w:t>辣椒精选产生的不合格辣椒、辣椒梗及石子、砂砾等杂质收集后委托环卫部门处置</w:t>
            </w:r>
            <w:r>
              <w:rPr>
                <w:rFonts w:hint="eastAsia" w:ascii="Times New Roman" w:hAnsi="Times New Roman" w:eastAsia="宋体" w:cs="Times New Roman"/>
                <w:b w:val="0"/>
                <w:bCs w:val="0"/>
                <w:color w:val="auto"/>
                <w:sz w:val="24"/>
                <w:szCs w:val="24"/>
                <w:highlight w:val="none"/>
                <w:vertAlign w:val="baseline"/>
                <w:lang w:eastAsia="zh-CN"/>
              </w:rPr>
              <w:t>；</w:t>
            </w:r>
          </w:p>
          <w:p>
            <w:pPr>
              <w:keepNext w:val="0"/>
              <w:keepLines w:val="0"/>
              <w:suppressLineNumbers w:val="0"/>
              <w:spacing w:before="0" w:beforeAutospacing="0" w:after="0" w:afterAutospacing="0" w:line="240" w:lineRule="auto"/>
              <w:ind w:left="0" w:leftChars="0" w:right="0" w:rightChars="0"/>
              <w:jc w:val="left"/>
              <w:rPr>
                <w:rFonts w:hint="eastAsia" w:eastAsia="宋体"/>
                <w:color w:val="auto"/>
                <w:sz w:val="24"/>
                <w:lang w:eastAsia="zh-CN"/>
              </w:rPr>
            </w:pPr>
            <w:r>
              <w:rPr>
                <w:rFonts w:hint="eastAsia" w:ascii="微软雅黑" w:hAnsi="微软雅黑" w:eastAsia="微软雅黑" w:cs="微软雅黑"/>
                <w:b w:val="0"/>
                <w:bCs w:val="0"/>
                <w:color w:val="FF0000"/>
                <w:sz w:val="24"/>
                <w:szCs w:val="24"/>
                <w:highlight w:val="none"/>
                <w:vertAlign w:val="baseline"/>
              </w:rPr>
              <w:t>⑤</w:t>
            </w:r>
            <w:r>
              <w:rPr>
                <w:rFonts w:hint="eastAsia" w:ascii="Times New Roman" w:hAnsi="Times New Roman" w:eastAsia="宋体" w:cs="Times New Roman"/>
                <w:b w:val="0"/>
                <w:bCs w:val="0"/>
                <w:color w:val="FF0000"/>
                <w:sz w:val="24"/>
                <w:szCs w:val="24"/>
                <w:highlight w:val="none"/>
                <w:vertAlign w:val="baseline"/>
              </w:rPr>
              <w:t>除尘灰</w:t>
            </w:r>
            <w:r>
              <w:rPr>
                <w:rFonts w:hint="eastAsia" w:cs="Times New Roman"/>
                <w:b w:val="0"/>
                <w:bCs w:val="0"/>
                <w:color w:val="FF0000"/>
                <w:sz w:val="24"/>
                <w:szCs w:val="24"/>
                <w:highlight w:val="none"/>
                <w:vertAlign w:val="baseline"/>
                <w:lang w:eastAsia="zh-CN"/>
              </w:rPr>
              <w:t>、</w:t>
            </w:r>
            <w:r>
              <w:rPr>
                <w:rFonts w:hint="eastAsia" w:ascii="Times New Roman" w:hAnsi="Times New Roman" w:eastAsia="宋体" w:cs="Times New Roman"/>
                <w:b w:val="0"/>
                <w:bCs w:val="0"/>
                <w:color w:val="FF0000"/>
                <w:sz w:val="24"/>
                <w:szCs w:val="24"/>
                <w:highlight w:val="none"/>
                <w:vertAlign w:val="baseline"/>
              </w:rPr>
              <w:t>生物质燃料灰</w:t>
            </w:r>
            <w:r>
              <w:rPr>
                <w:rFonts w:hint="eastAsia" w:cs="Times New Roman"/>
                <w:b w:val="0"/>
                <w:bCs w:val="0"/>
                <w:color w:val="FF0000"/>
                <w:sz w:val="24"/>
                <w:szCs w:val="24"/>
                <w:highlight w:val="none"/>
                <w:vertAlign w:val="baseline"/>
                <w:lang w:val="en-US" w:eastAsia="zh-CN"/>
              </w:rPr>
              <w:t>渣</w:t>
            </w:r>
            <w:r>
              <w:rPr>
                <w:rFonts w:hint="eastAsia" w:ascii="Times New Roman" w:hAnsi="Times New Roman" w:eastAsia="宋体" w:cs="Times New Roman"/>
                <w:b w:val="0"/>
                <w:bCs w:val="0"/>
                <w:color w:val="FF0000"/>
                <w:sz w:val="24"/>
                <w:szCs w:val="24"/>
                <w:highlight w:val="none"/>
                <w:vertAlign w:val="baseline"/>
              </w:rPr>
              <w:t>收集后外售有机肥厂制作肥料</w:t>
            </w:r>
            <w:r>
              <w:rPr>
                <w:rFonts w:hint="eastAsia" w:ascii="Times New Roman" w:hAnsi="Times New Roman" w:eastAsia="宋体" w:cs="Times New Roman"/>
                <w:b w:val="0"/>
                <w:bCs w:val="0"/>
                <w:color w:val="FF0000"/>
                <w:sz w:val="24"/>
                <w:szCs w:val="24"/>
                <w:highlight w:val="none"/>
                <w:vertAlign w:val="baseli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1" w:type="dxa"/>
            <w:noWrap w:val="0"/>
            <w:vAlign w:val="center"/>
          </w:tcPr>
          <w:p>
            <w:pPr>
              <w:adjustRightInd w:val="0"/>
              <w:snapToGrid w:val="0"/>
              <w:spacing w:line="240" w:lineRule="auto"/>
              <w:jc w:val="center"/>
              <w:rPr>
                <w:color w:val="auto"/>
                <w:sz w:val="24"/>
              </w:rPr>
            </w:pPr>
            <w:r>
              <w:rPr>
                <w:color w:val="auto"/>
                <w:sz w:val="24"/>
              </w:rPr>
              <w:t>土壤及地下水</w:t>
            </w:r>
          </w:p>
          <w:p>
            <w:pPr>
              <w:adjustRightInd w:val="0"/>
              <w:snapToGrid w:val="0"/>
              <w:spacing w:line="240" w:lineRule="auto"/>
              <w:jc w:val="center"/>
              <w:rPr>
                <w:color w:val="auto"/>
                <w:sz w:val="24"/>
              </w:rPr>
            </w:pPr>
            <w:r>
              <w:rPr>
                <w:color w:val="auto"/>
                <w:sz w:val="24"/>
              </w:rPr>
              <w:t>污染防治措施</w:t>
            </w:r>
          </w:p>
        </w:tc>
        <w:tc>
          <w:tcPr>
            <w:tcW w:w="72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line="240" w:lineRule="auto"/>
              <w:ind w:firstLine="480" w:firstLineChars="200"/>
              <w:textAlignment w:val="auto"/>
              <w:rPr>
                <w:color w:val="auto"/>
                <w:sz w:val="24"/>
              </w:rPr>
            </w:pPr>
            <w:r>
              <w:rPr>
                <w:rFonts w:hint="eastAsia"/>
                <w:color w:val="auto"/>
                <w:sz w:val="24"/>
              </w:rPr>
              <w:t>化粪池为一般防渗区，防渗层等效于M=1.5m厚粘土，渗透系数不大于10</w:t>
            </w:r>
            <w:r>
              <w:rPr>
                <w:rFonts w:hint="eastAsia"/>
                <w:color w:val="auto"/>
                <w:sz w:val="24"/>
                <w:vertAlign w:val="superscript"/>
              </w:rPr>
              <w:t>-7</w:t>
            </w:r>
            <w:r>
              <w:rPr>
                <w:rFonts w:hint="eastAsia"/>
                <w:color w:val="auto"/>
                <w:sz w:val="24"/>
              </w:rPr>
              <w:t>cm/s；生产厂房以及厂区道路等均不进行防渗，只水泥硬化地面。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6" w:hRule="atLeast"/>
          <w:jc w:val="center"/>
        </w:trPr>
        <w:tc>
          <w:tcPr>
            <w:tcW w:w="1801" w:type="dxa"/>
            <w:noWrap w:val="0"/>
            <w:vAlign w:val="center"/>
          </w:tcPr>
          <w:p>
            <w:pPr>
              <w:adjustRightInd w:val="0"/>
              <w:snapToGrid w:val="0"/>
              <w:spacing w:line="240" w:lineRule="auto"/>
              <w:jc w:val="center"/>
              <w:rPr>
                <w:color w:val="auto"/>
                <w:sz w:val="24"/>
              </w:rPr>
            </w:pPr>
            <w:r>
              <w:rPr>
                <w:color w:val="auto"/>
                <w:sz w:val="24"/>
              </w:rPr>
              <w:t>生态保护措施</w:t>
            </w:r>
          </w:p>
        </w:tc>
        <w:tc>
          <w:tcPr>
            <w:tcW w:w="7270" w:type="dxa"/>
            <w:gridSpan w:val="4"/>
            <w:noWrap w:val="0"/>
            <w:vAlign w:val="center"/>
          </w:tcPr>
          <w:p>
            <w:pPr>
              <w:spacing w:line="240" w:lineRule="auto"/>
              <w:ind w:firstLine="480" w:firstLineChars="200"/>
              <w:jc w:val="left"/>
              <w:rPr>
                <w:rFonts w:ascii="Times New Roman" w:hAnsi="Times New Roman" w:eastAsia="宋体" w:cs="Times New Roman"/>
                <w:color w:val="auto"/>
                <w:sz w:val="24"/>
              </w:rPr>
            </w:pPr>
            <w:r>
              <w:rPr>
                <w:rFonts w:hint="eastAsia" w:ascii="Times New Roman" w:hAnsi="Times New Roman" w:eastAsia="宋体" w:cs="Times New Roman"/>
                <w:color w:val="auto"/>
                <w:sz w:val="24"/>
              </w:rPr>
              <w:t>对厂区四周进行绿化，对于改善和保护局部生态环境具有积极的促进作用。现场踏勘，项目所在区域无珍稀动植物和文物古迹保护对象，拟建项目用地对区域生态系统无不利影响。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801" w:type="dxa"/>
            <w:noWrap w:val="0"/>
            <w:vAlign w:val="center"/>
          </w:tcPr>
          <w:p>
            <w:pPr>
              <w:adjustRightInd w:val="0"/>
              <w:snapToGrid w:val="0"/>
              <w:spacing w:line="240" w:lineRule="auto"/>
              <w:jc w:val="center"/>
              <w:rPr>
                <w:color w:val="auto"/>
                <w:spacing w:val="-8"/>
                <w:sz w:val="24"/>
              </w:rPr>
            </w:pPr>
            <w:r>
              <w:rPr>
                <w:color w:val="auto"/>
                <w:spacing w:val="-8"/>
                <w:sz w:val="24"/>
              </w:rPr>
              <w:t>环境风险</w:t>
            </w:r>
          </w:p>
          <w:p>
            <w:pPr>
              <w:adjustRightInd w:val="0"/>
              <w:snapToGrid w:val="0"/>
              <w:spacing w:line="240" w:lineRule="auto"/>
              <w:jc w:val="center"/>
              <w:rPr>
                <w:color w:val="auto"/>
                <w:spacing w:val="-8"/>
                <w:sz w:val="24"/>
              </w:rPr>
            </w:pPr>
            <w:r>
              <w:rPr>
                <w:color w:val="auto"/>
                <w:spacing w:val="-8"/>
                <w:sz w:val="24"/>
              </w:rPr>
              <w:t>防范措施</w:t>
            </w:r>
          </w:p>
        </w:tc>
        <w:tc>
          <w:tcPr>
            <w:tcW w:w="7270" w:type="dxa"/>
            <w:gridSpan w:val="4"/>
            <w:noWrap w:val="0"/>
            <w:vAlign w:val="center"/>
          </w:tcPr>
          <w:p>
            <w:pPr>
              <w:spacing w:line="24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1801" w:type="dxa"/>
            <w:noWrap w:val="0"/>
            <w:vAlign w:val="center"/>
          </w:tcPr>
          <w:p>
            <w:pPr>
              <w:adjustRightInd w:val="0"/>
              <w:snapToGrid w:val="0"/>
              <w:spacing w:line="240" w:lineRule="auto"/>
              <w:jc w:val="center"/>
              <w:rPr>
                <w:color w:val="auto"/>
                <w:spacing w:val="-8"/>
                <w:sz w:val="24"/>
              </w:rPr>
            </w:pPr>
            <w:r>
              <w:rPr>
                <w:color w:val="auto"/>
                <w:spacing w:val="-8"/>
                <w:sz w:val="24"/>
              </w:rPr>
              <w:t>其他环境</w:t>
            </w:r>
          </w:p>
          <w:p>
            <w:pPr>
              <w:adjustRightInd w:val="0"/>
              <w:snapToGrid w:val="0"/>
              <w:spacing w:line="240" w:lineRule="auto"/>
              <w:jc w:val="center"/>
              <w:rPr>
                <w:color w:val="auto"/>
                <w:spacing w:val="-8"/>
                <w:sz w:val="24"/>
              </w:rPr>
            </w:pPr>
            <w:r>
              <w:rPr>
                <w:color w:val="auto"/>
                <w:spacing w:val="-8"/>
                <w:sz w:val="24"/>
              </w:rPr>
              <w:t>管理要求</w:t>
            </w:r>
          </w:p>
        </w:tc>
        <w:tc>
          <w:tcPr>
            <w:tcW w:w="7270" w:type="dxa"/>
            <w:gridSpan w:val="4"/>
            <w:noWrap w:val="0"/>
            <w:vAlign w:val="center"/>
          </w:tcPr>
          <w:p>
            <w:pPr>
              <w:spacing w:line="24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w:t>
            </w:r>
          </w:p>
        </w:tc>
      </w:tr>
    </w:tbl>
    <w:p>
      <w:pPr>
        <w:pStyle w:val="20"/>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r>
        <w:rPr>
          <w:rFonts w:ascii="Times New Roman" w:hAnsi="Times New Roman" w:eastAsia="黑体"/>
          <w:snapToGrid w:val="0"/>
          <w:color w:val="auto"/>
          <w:sz w:val="30"/>
          <w:szCs w:val="30"/>
        </w:rPr>
        <w:t>六、结论</w:t>
      </w:r>
    </w:p>
    <w:tbl>
      <w:tblPr>
        <w:tblStyle w:val="23"/>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7" w:hRule="atLeast"/>
          <w:jc w:val="center"/>
        </w:trPr>
        <w:tc>
          <w:tcPr>
            <w:tcW w:w="886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ind w:firstLine="480" w:firstLineChars="200"/>
              <w:textAlignment w:val="auto"/>
              <w:rPr>
                <w:color w:val="auto"/>
                <w:szCs w:val="21"/>
              </w:rPr>
            </w:pPr>
            <w:r>
              <w:rPr>
                <w:rFonts w:hint="eastAsia"/>
                <w:snapToGrid w:val="0"/>
                <w:color w:val="auto"/>
                <w:sz w:val="24"/>
              </w:rPr>
              <w:t>综上所述，项目符合三线一单、产业政策的要求。本项目在认真落实本报告中提出的各项污染防治措施及建议的前提下，加强环境管理，其废气、废水、噪声、固体废弃物等对周围环境的影响控制在可接受范围内，从环境保护角度分析，该建设项目环境影响可行。</w:t>
            </w:r>
          </w:p>
        </w:tc>
      </w:tr>
    </w:tbl>
    <w:p>
      <w:pPr>
        <w:rPr>
          <w:color w:val="auto"/>
        </w:rPr>
        <w:sectPr>
          <w:pgSz w:w="11906" w:h="16838"/>
          <w:pgMar w:top="1701" w:right="1531" w:bottom="1701" w:left="1531" w:header="851" w:footer="851" w:gutter="0"/>
          <w:pgNumType w:fmt="decimal"/>
          <w:cols w:space="720" w:num="1"/>
          <w:docGrid w:linePitch="312" w:charSpace="0"/>
        </w:sectPr>
      </w:pPr>
    </w:p>
    <w:p>
      <w:pPr>
        <w:pStyle w:val="20"/>
        <w:adjustRightInd w:val="0"/>
        <w:snapToGrid w:val="0"/>
        <w:spacing w:before="0" w:beforeAutospacing="0" w:after="0" w:afterAutospacing="0" w:line="240" w:lineRule="auto"/>
        <w:outlineLvl w:val="0"/>
        <w:rPr>
          <w:rFonts w:ascii="Times New Roman" w:hAnsi="Times New Roman" w:eastAsia="黑体"/>
          <w:snapToGrid w:val="0"/>
          <w:color w:val="auto"/>
          <w:sz w:val="36"/>
          <w:szCs w:val="36"/>
        </w:rPr>
      </w:pPr>
      <w:r>
        <w:rPr>
          <w:rFonts w:ascii="Times New Roman" w:hAnsi="Times New Roman" w:eastAsia="黑体"/>
          <w:snapToGrid w:val="0"/>
          <w:color w:val="auto"/>
          <w:sz w:val="36"/>
          <w:szCs w:val="36"/>
        </w:rPr>
        <w:t>附表</w:t>
      </w:r>
    </w:p>
    <w:p>
      <w:pPr>
        <w:pStyle w:val="20"/>
        <w:adjustRightInd w:val="0"/>
        <w:snapToGrid w:val="0"/>
        <w:spacing w:before="0" w:beforeAutospacing="0" w:after="0" w:afterAutospacing="0" w:line="240" w:lineRule="auto"/>
        <w:jc w:val="center"/>
        <w:outlineLvl w:val="0"/>
        <w:rPr>
          <w:rFonts w:ascii="Times New Roman" w:hAnsi="Times New Roman" w:eastAsia="方正小标宋_GBK"/>
          <w:snapToGrid w:val="0"/>
          <w:color w:val="auto"/>
          <w:sz w:val="38"/>
          <w:szCs w:val="38"/>
        </w:rPr>
      </w:pPr>
      <w:r>
        <w:rPr>
          <w:rFonts w:ascii="Times New Roman" w:hAnsi="Times New Roman" w:eastAsia="方正小标宋_GBK"/>
          <w:snapToGrid w:val="0"/>
          <w:color w:val="auto"/>
          <w:sz w:val="38"/>
          <w:szCs w:val="38"/>
        </w:rPr>
        <w:t>建设项目污染物排放量汇总表</w:t>
      </w:r>
    </w:p>
    <w:tbl>
      <w:tblPr>
        <w:tblStyle w:val="2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660"/>
        <w:gridCol w:w="1254"/>
        <w:gridCol w:w="886"/>
        <w:gridCol w:w="1432"/>
        <w:gridCol w:w="1650"/>
        <w:gridCol w:w="1609"/>
        <w:gridCol w:w="1705"/>
        <w:gridCol w:w="17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tcBorders>
              <w:tl2br w:val="single" w:color="auto" w:sz="4" w:space="0"/>
            </w:tcBorders>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项目</w:t>
            </w:r>
          </w:p>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分类</w:t>
            </w:r>
          </w:p>
        </w:tc>
        <w:tc>
          <w:tcPr>
            <w:tcW w:w="2660"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污染物名称</w:t>
            </w:r>
          </w:p>
        </w:tc>
        <w:tc>
          <w:tcPr>
            <w:tcW w:w="1254"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现有工程排放量（固体废物产生量）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1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①</w:t>
            </w:r>
            <w:r>
              <w:rPr>
                <w:rFonts w:ascii="Times New Roman" w:eastAsia="黑体"/>
                <w:snapToGrid w:val="0"/>
                <w:color w:val="auto"/>
                <w:spacing w:val="-6"/>
                <w:kern w:val="21"/>
                <w:sz w:val="24"/>
                <w:szCs w:val="24"/>
              </w:rPr>
              <w:fldChar w:fldCharType="end"/>
            </w:r>
          </w:p>
        </w:tc>
        <w:tc>
          <w:tcPr>
            <w:tcW w:w="886"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现有工程许可排放量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2 \* GB3 \* MERGEFORMAT </w:instrText>
            </w:r>
            <w:r>
              <w:rPr>
                <w:rFonts w:ascii="Times New Roman" w:eastAsia="黑体"/>
                <w:snapToGrid w:val="0"/>
                <w:color w:val="auto"/>
                <w:spacing w:val="-6"/>
                <w:kern w:val="21"/>
                <w:sz w:val="24"/>
                <w:szCs w:val="24"/>
              </w:rPr>
              <w:fldChar w:fldCharType="separate"/>
            </w:r>
            <w:r>
              <w:rPr>
                <w:rFonts w:ascii="Times New Roman" w:eastAsia="黑体"/>
                <w:snapToGrid w:val="0"/>
                <w:color w:val="auto"/>
                <w:spacing w:val="-6"/>
                <w:kern w:val="21"/>
                <w:sz w:val="24"/>
                <w:szCs w:val="24"/>
              </w:rPr>
              <w:t>②</w:t>
            </w:r>
            <w:r>
              <w:rPr>
                <w:rFonts w:ascii="Times New Roman" w:eastAsia="黑体"/>
                <w:snapToGrid w:val="0"/>
                <w:color w:val="auto"/>
                <w:spacing w:val="-6"/>
                <w:kern w:val="21"/>
                <w:sz w:val="24"/>
                <w:szCs w:val="24"/>
              </w:rPr>
              <w:fldChar w:fldCharType="end"/>
            </w:r>
          </w:p>
        </w:tc>
        <w:tc>
          <w:tcPr>
            <w:tcW w:w="1432"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在建工程排放量（固体废物产生量）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3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③</w:t>
            </w:r>
            <w:r>
              <w:rPr>
                <w:rFonts w:ascii="Times New Roman" w:eastAsia="黑体"/>
                <w:snapToGrid w:val="0"/>
                <w:color w:val="auto"/>
                <w:spacing w:val="-6"/>
                <w:kern w:val="21"/>
                <w:sz w:val="24"/>
                <w:szCs w:val="24"/>
              </w:rPr>
              <w:fldChar w:fldCharType="end"/>
            </w:r>
          </w:p>
        </w:tc>
        <w:tc>
          <w:tcPr>
            <w:tcW w:w="1650"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本项目排放量（固体废物产生量）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4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④</w:t>
            </w:r>
            <w:r>
              <w:rPr>
                <w:rFonts w:ascii="Times New Roman" w:eastAsia="黑体"/>
                <w:snapToGrid w:val="0"/>
                <w:color w:val="auto"/>
                <w:spacing w:val="-6"/>
                <w:kern w:val="21"/>
                <w:sz w:val="24"/>
                <w:szCs w:val="24"/>
              </w:rPr>
              <w:fldChar w:fldCharType="end"/>
            </w:r>
          </w:p>
        </w:tc>
        <w:tc>
          <w:tcPr>
            <w:tcW w:w="1609"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16"/>
                <w:kern w:val="21"/>
                <w:sz w:val="24"/>
                <w:szCs w:val="24"/>
              </w:rPr>
            </w:pPr>
            <w:r>
              <w:rPr>
                <w:rFonts w:ascii="Times New Roman" w:eastAsia="黑体"/>
                <w:snapToGrid w:val="0"/>
                <w:color w:val="auto"/>
                <w:spacing w:val="-16"/>
                <w:kern w:val="21"/>
                <w:sz w:val="24"/>
                <w:szCs w:val="24"/>
              </w:rPr>
              <w:t>以新带老削减量（新建项目不填）</w:t>
            </w:r>
            <w:r>
              <w:rPr>
                <w:rFonts w:ascii="Times New Roman" w:eastAsia="黑体"/>
                <w:snapToGrid w:val="0"/>
                <w:color w:val="auto"/>
                <w:spacing w:val="-16"/>
                <w:kern w:val="21"/>
                <w:sz w:val="24"/>
                <w:szCs w:val="24"/>
              </w:rPr>
              <w:fldChar w:fldCharType="begin"/>
            </w:r>
            <w:r>
              <w:rPr>
                <w:rFonts w:ascii="Times New Roman" w:eastAsia="黑体"/>
                <w:snapToGrid w:val="0"/>
                <w:color w:val="auto"/>
                <w:spacing w:val="-16"/>
                <w:kern w:val="21"/>
                <w:sz w:val="24"/>
                <w:szCs w:val="24"/>
              </w:rPr>
              <w:instrText xml:space="preserve"> = 5 \* GB3 \* MERGEFORMAT </w:instrText>
            </w:r>
            <w:r>
              <w:rPr>
                <w:rFonts w:ascii="Times New Roman" w:eastAsia="黑体"/>
                <w:snapToGrid w:val="0"/>
                <w:color w:val="auto"/>
                <w:spacing w:val="-16"/>
                <w:kern w:val="21"/>
                <w:sz w:val="24"/>
                <w:szCs w:val="24"/>
              </w:rPr>
              <w:fldChar w:fldCharType="separate"/>
            </w:r>
            <w:r>
              <w:rPr>
                <w:rFonts w:ascii="Times New Roman" w:eastAsia="黑体"/>
                <w:color w:val="auto"/>
                <w:kern w:val="2"/>
                <w:sz w:val="24"/>
                <w:szCs w:val="24"/>
              </w:rPr>
              <w:t>⑤</w:t>
            </w:r>
            <w:r>
              <w:rPr>
                <w:rFonts w:ascii="Times New Roman" w:eastAsia="黑体"/>
                <w:snapToGrid w:val="0"/>
                <w:color w:val="auto"/>
                <w:spacing w:val="-16"/>
                <w:kern w:val="21"/>
                <w:sz w:val="24"/>
                <w:szCs w:val="24"/>
              </w:rPr>
              <w:fldChar w:fldCharType="end"/>
            </w:r>
          </w:p>
        </w:tc>
        <w:tc>
          <w:tcPr>
            <w:tcW w:w="1705"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16"/>
                <w:kern w:val="21"/>
                <w:sz w:val="24"/>
                <w:szCs w:val="24"/>
              </w:rPr>
            </w:pPr>
            <w:r>
              <w:rPr>
                <w:rFonts w:ascii="Times New Roman" w:eastAsia="黑体"/>
                <w:snapToGrid w:val="0"/>
                <w:color w:val="auto"/>
                <w:spacing w:val="-16"/>
                <w:kern w:val="21"/>
                <w:sz w:val="24"/>
                <w:szCs w:val="24"/>
              </w:rPr>
              <w:t>本项目建成后</w:t>
            </w:r>
          </w:p>
          <w:p>
            <w:pPr>
              <w:spacing w:beforeLines="0" w:afterLines="0" w:line="240" w:lineRule="auto"/>
              <w:jc w:val="center"/>
              <w:rPr>
                <w:rFonts w:ascii="Times New Roman" w:eastAsia="黑体"/>
                <w:snapToGrid w:val="0"/>
                <w:color w:val="auto"/>
                <w:spacing w:val="-16"/>
                <w:kern w:val="21"/>
                <w:sz w:val="24"/>
                <w:szCs w:val="24"/>
              </w:rPr>
            </w:pPr>
            <w:r>
              <w:rPr>
                <w:rFonts w:ascii="Times New Roman" w:eastAsia="黑体"/>
                <w:snapToGrid w:val="0"/>
                <w:color w:val="auto"/>
                <w:spacing w:val="-16"/>
                <w:kern w:val="21"/>
                <w:sz w:val="24"/>
                <w:szCs w:val="24"/>
              </w:rPr>
              <w:t>全厂排放量（固体废物产生量）</w:t>
            </w:r>
            <w:r>
              <w:rPr>
                <w:rFonts w:ascii="Times New Roman" w:eastAsia="黑体"/>
                <w:snapToGrid w:val="0"/>
                <w:color w:val="auto"/>
                <w:spacing w:val="-16"/>
                <w:kern w:val="21"/>
                <w:sz w:val="24"/>
                <w:szCs w:val="24"/>
              </w:rPr>
              <w:fldChar w:fldCharType="begin"/>
            </w:r>
            <w:r>
              <w:rPr>
                <w:rFonts w:ascii="Times New Roman" w:eastAsia="黑体"/>
                <w:snapToGrid w:val="0"/>
                <w:color w:val="auto"/>
                <w:spacing w:val="-16"/>
                <w:kern w:val="21"/>
                <w:sz w:val="24"/>
                <w:szCs w:val="24"/>
              </w:rPr>
              <w:instrText xml:space="preserve"> = 6 \* GB3 \* MERGEFORMAT </w:instrText>
            </w:r>
            <w:r>
              <w:rPr>
                <w:rFonts w:ascii="Times New Roman" w:eastAsia="黑体"/>
                <w:snapToGrid w:val="0"/>
                <w:color w:val="auto"/>
                <w:spacing w:val="-16"/>
                <w:kern w:val="21"/>
                <w:sz w:val="24"/>
                <w:szCs w:val="24"/>
              </w:rPr>
              <w:fldChar w:fldCharType="separate"/>
            </w:r>
            <w:r>
              <w:rPr>
                <w:rFonts w:ascii="Times New Roman" w:eastAsia="黑体"/>
                <w:color w:val="auto"/>
                <w:kern w:val="2"/>
                <w:sz w:val="24"/>
                <w:szCs w:val="24"/>
              </w:rPr>
              <w:t>⑥</w:t>
            </w:r>
            <w:r>
              <w:rPr>
                <w:rFonts w:ascii="Times New Roman" w:eastAsia="黑体"/>
                <w:snapToGrid w:val="0"/>
                <w:color w:val="auto"/>
                <w:spacing w:val="-16"/>
                <w:kern w:val="21"/>
                <w:sz w:val="24"/>
                <w:szCs w:val="24"/>
              </w:rPr>
              <w:fldChar w:fldCharType="end"/>
            </w:r>
          </w:p>
        </w:tc>
        <w:tc>
          <w:tcPr>
            <w:tcW w:w="1788" w:type="dxa"/>
            <w:noWrap w:val="0"/>
            <w:tcMar>
              <w:left w:w="28" w:type="dxa"/>
              <w:right w:w="28" w:type="dxa"/>
            </w:tcMar>
            <w:vAlign w:val="center"/>
          </w:tcPr>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变化量</w:t>
            </w:r>
          </w:p>
          <w:p>
            <w:pPr>
              <w:spacing w:beforeLines="0" w:afterLines="0" w:line="240" w:lineRule="auto"/>
              <w:jc w:val="center"/>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7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⑦</w:t>
            </w:r>
            <w:r>
              <w:rPr>
                <w:rFonts w:ascii="Times New Roman" w:eastAsia="黑体"/>
                <w:snapToGrid w:val="0"/>
                <w:color w:val="auto"/>
                <w:spacing w:val="-6"/>
                <w:kern w:val="21"/>
                <w:sz w:val="24"/>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restart"/>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废气</w:t>
            </w:r>
          </w:p>
        </w:tc>
        <w:tc>
          <w:tcPr>
            <w:tcW w:w="266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eastAsia="zh-CN"/>
              </w:rPr>
              <w:t>颗粒物</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0.0073</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0.0073</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+0.0073</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rPr>
              <w:t>二氧化硫</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1.</w:t>
            </w:r>
            <w:r>
              <w:rPr>
                <w:rFonts w:hint="eastAsia" w:cs="Times New Roman"/>
                <w:snapToGrid w:val="0"/>
                <w:color w:val="auto"/>
                <w:kern w:val="21"/>
                <w:sz w:val="24"/>
                <w:szCs w:val="24"/>
                <w:lang w:val="en-US" w:eastAsia="zh-CN"/>
              </w:rPr>
              <w:t>68</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1.</w:t>
            </w:r>
            <w:r>
              <w:rPr>
                <w:rFonts w:hint="eastAsia" w:cs="Times New Roman"/>
                <w:snapToGrid w:val="0"/>
                <w:color w:val="auto"/>
                <w:kern w:val="21"/>
                <w:sz w:val="24"/>
                <w:szCs w:val="24"/>
                <w:lang w:val="en-US" w:eastAsia="zh-CN"/>
              </w:rPr>
              <w:t>68</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+1.</w:t>
            </w:r>
            <w:r>
              <w:rPr>
                <w:rFonts w:hint="eastAsia" w:cs="Times New Roman"/>
                <w:snapToGrid w:val="0"/>
                <w:color w:val="auto"/>
                <w:kern w:val="21"/>
                <w:sz w:val="24"/>
                <w:szCs w:val="24"/>
                <w:lang w:val="en-US" w:eastAsia="zh-CN"/>
              </w:rPr>
              <w:t>68</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rPr>
              <w:t>氮氧化物</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1.02</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1.02</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1.02</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restart"/>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废水</w:t>
            </w: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rPr>
              <w:t>COD</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0.0384</w:t>
            </w:r>
            <w:r>
              <w:rPr>
                <w:rFonts w:hint="eastAsia"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0.0384</w:t>
            </w:r>
            <w:r>
              <w:rPr>
                <w:rFonts w:hint="eastAsia"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0.0384</w:t>
            </w:r>
            <w:r>
              <w:rPr>
                <w:rFonts w:hint="eastAsia"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rPr>
              <w:t>BOD</w:t>
            </w:r>
            <w:r>
              <w:rPr>
                <w:rFonts w:hint="default" w:ascii="Times New Roman" w:hAnsi="Times New Roman" w:eastAsia="宋体" w:cs="Times New Roman"/>
                <w:snapToGrid w:val="0"/>
                <w:color w:val="auto"/>
                <w:kern w:val="21"/>
                <w:sz w:val="24"/>
                <w:szCs w:val="24"/>
                <w:vertAlign w:val="subscript"/>
              </w:rPr>
              <w:t>5</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0.0192</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0.0192</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0.0192</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SS</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0.0288</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0.0288</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0.0288</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NH</w:t>
            </w:r>
            <w:r>
              <w:rPr>
                <w:rFonts w:hint="default" w:ascii="Times New Roman" w:hAnsi="Times New Roman" w:eastAsia="宋体" w:cs="Times New Roman"/>
                <w:snapToGrid w:val="0"/>
                <w:color w:val="auto"/>
                <w:kern w:val="21"/>
                <w:sz w:val="24"/>
                <w:szCs w:val="24"/>
                <w:vertAlign w:val="subscript"/>
              </w:rPr>
              <w:t>3</w:t>
            </w:r>
            <w:r>
              <w:rPr>
                <w:rFonts w:hint="default" w:ascii="Times New Roman" w:hAnsi="Times New Roman" w:eastAsia="宋体" w:cs="Times New Roman"/>
                <w:snapToGrid w:val="0"/>
                <w:color w:val="auto"/>
                <w:kern w:val="21"/>
                <w:sz w:val="24"/>
                <w:szCs w:val="24"/>
              </w:rPr>
              <w:t>-N</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0.0029</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0.0029</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0.0029</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restart"/>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一般工业固体废物</w:t>
            </w: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生活垃圾</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1</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1</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1</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水煮工序废辅料和底泥</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hint="eastAsia" w:ascii="Times New Roman" w:hAnsi="Times New Roman" w:eastAsia="宋体" w:cs="Times New Roman"/>
                <w:snapToGrid w:val="0"/>
                <w:color w:val="FF0000"/>
                <w:kern w:val="21"/>
                <w:sz w:val="24"/>
                <w:szCs w:val="24"/>
                <w:highlight w:val="none"/>
                <w:lang w:val="en-US" w:eastAsia="zh-CN"/>
              </w:rPr>
              <w:t>3.1</w:t>
            </w:r>
            <w:r>
              <w:rPr>
                <w:rFonts w:hint="eastAsia" w:cs="Times New Roman"/>
                <w:snapToGrid w:val="0"/>
                <w:color w:val="FF0000"/>
                <w:kern w:val="21"/>
                <w:sz w:val="24"/>
                <w:szCs w:val="24"/>
                <w:highlight w:val="none"/>
                <w:lang w:val="en-US" w:eastAsia="zh-CN"/>
              </w:rPr>
              <w:t>2</w:t>
            </w:r>
            <w:r>
              <w:rPr>
                <w:rFonts w:ascii="Times New Roman" w:hAnsi="Times New Roman" w:eastAsia="宋体" w:cs="Times New Roman"/>
                <w:snapToGrid w:val="0"/>
                <w:color w:val="FF0000"/>
                <w:kern w:val="21"/>
                <w:sz w:val="24"/>
                <w:szCs w:val="24"/>
                <w:highlight w:val="none"/>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ascii="Times New Roman" w:hAnsi="Times New Roman" w:eastAsia="宋体" w:cs="Times New Roman"/>
                <w:snapToGrid w:val="0"/>
                <w:color w:val="FF0000"/>
                <w:kern w:val="21"/>
                <w:sz w:val="24"/>
                <w:szCs w:val="24"/>
                <w:highlight w:val="none"/>
              </w:rPr>
              <w:t>/</w:t>
            </w:r>
          </w:p>
        </w:tc>
        <w:tc>
          <w:tcPr>
            <w:tcW w:w="1705"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lang w:val="en-US" w:eastAsia="zh-CN" w:bidi="ar-SA"/>
              </w:rPr>
            </w:pPr>
            <w:r>
              <w:rPr>
                <w:rFonts w:hint="eastAsia" w:ascii="Times New Roman" w:hAnsi="Times New Roman" w:eastAsia="宋体" w:cs="Times New Roman"/>
                <w:snapToGrid w:val="0"/>
                <w:color w:val="FF0000"/>
                <w:kern w:val="21"/>
                <w:sz w:val="24"/>
                <w:szCs w:val="24"/>
                <w:highlight w:val="none"/>
                <w:lang w:val="en-US" w:eastAsia="zh-CN"/>
              </w:rPr>
              <w:t>3.1</w:t>
            </w:r>
            <w:r>
              <w:rPr>
                <w:rFonts w:hint="eastAsia" w:cs="Times New Roman"/>
                <w:snapToGrid w:val="0"/>
                <w:color w:val="FF0000"/>
                <w:kern w:val="21"/>
                <w:sz w:val="24"/>
                <w:szCs w:val="24"/>
                <w:highlight w:val="none"/>
                <w:lang w:val="en-US" w:eastAsia="zh-CN"/>
              </w:rPr>
              <w:t>2</w:t>
            </w:r>
            <w:r>
              <w:rPr>
                <w:rFonts w:ascii="Times New Roman" w:hAnsi="Times New Roman" w:eastAsia="宋体" w:cs="Times New Roman"/>
                <w:snapToGrid w:val="0"/>
                <w:color w:val="FF0000"/>
                <w:kern w:val="21"/>
                <w:sz w:val="24"/>
                <w:szCs w:val="24"/>
                <w:highlight w:val="none"/>
              </w:rPr>
              <w:t>t/a</w:t>
            </w:r>
          </w:p>
        </w:tc>
        <w:tc>
          <w:tcPr>
            <w:tcW w:w="1788"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lang w:val="en-US" w:eastAsia="zh-CN" w:bidi="ar-SA"/>
              </w:rPr>
            </w:pPr>
            <w:r>
              <w:rPr>
                <w:rFonts w:hint="eastAsia" w:ascii="Times New Roman" w:hAnsi="Times New Roman" w:eastAsia="宋体" w:cs="Times New Roman"/>
                <w:snapToGrid w:val="0"/>
                <w:color w:val="FF0000"/>
                <w:kern w:val="21"/>
                <w:sz w:val="24"/>
                <w:szCs w:val="24"/>
                <w:highlight w:val="none"/>
              </w:rPr>
              <w:t>+</w:t>
            </w:r>
            <w:r>
              <w:rPr>
                <w:rFonts w:hint="eastAsia" w:ascii="Times New Roman" w:hAnsi="Times New Roman" w:eastAsia="宋体" w:cs="Times New Roman"/>
                <w:snapToGrid w:val="0"/>
                <w:color w:val="FF0000"/>
                <w:kern w:val="21"/>
                <w:sz w:val="24"/>
                <w:szCs w:val="24"/>
                <w:highlight w:val="none"/>
                <w:lang w:val="en-US" w:eastAsia="zh-CN"/>
              </w:rPr>
              <w:t>3.1</w:t>
            </w:r>
            <w:r>
              <w:rPr>
                <w:rFonts w:hint="eastAsia" w:cs="Times New Roman"/>
                <w:snapToGrid w:val="0"/>
                <w:color w:val="FF0000"/>
                <w:kern w:val="21"/>
                <w:sz w:val="24"/>
                <w:szCs w:val="24"/>
                <w:highlight w:val="none"/>
                <w:lang w:val="en-US" w:eastAsia="zh-CN"/>
              </w:rPr>
              <w:t>2</w:t>
            </w:r>
            <w:r>
              <w:rPr>
                <w:rFonts w:ascii="Times New Roman" w:hAnsi="Times New Roman" w:eastAsia="宋体" w:cs="Times New Roman"/>
                <w:snapToGrid w:val="0"/>
                <w:color w:val="FF0000"/>
                <w:kern w:val="21"/>
                <w:sz w:val="24"/>
                <w:szCs w:val="24"/>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eastAsia="zh-CN"/>
              </w:rPr>
              <w:t>不合格</w:t>
            </w:r>
            <w:r>
              <w:rPr>
                <w:rFonts w:hint="eastAsia" w:ascii="Times New Roman" w:hAnsi="Times New Roman" w:eastAsia="宋体" w:cs="Times New Roman"/>
                <w:snapToGrid w:val="0"/>
                <w:color w:val="auto"/>
                <w:kern w:val="21"/>
                <w:sz w:val="24"/>
                <w:szCs w:val="24"/>
                <w:lang w:val="en-US" w:eastAsia="zh-CN"/>
              </w:rPr>
              <w:t>瓜子</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rPr>
            </w:pPr>
            <w:r>
              <w:rPr>
                <w:rFonts w:hint="eastAsia" w:ascii="Times New Roman" w:hAnsi="Times New Roman" w:eastAsia="宋体" w:cs="Times New Roman"/>
                <w:snapToGrid w:val="0"/>
                <w:color w:val="auto"/>
                <w:kern w:val="21"/>
                <w:sz w:val="24"/>
                <w:szCs w:val="24"/>
                <w:lang w:val="en-US" w:eastAsia="zh-CN"/>
              </w:rPr>
              <w:t>51</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51</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51</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除尘灰</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0.72</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0.72</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0.72</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不合格辣椒、辣椒梗及石子、砂砾等杂质</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1650"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0.9</w:t>
            </w:r>
            <w:r>
              <w:rPr>
                <w:rFonts w:ascii="Times New Roman" w:hAnsi="Times New Roman" w:eastAsia="宋体" w:cs="Times New Roman"/>
                <w:snapToGrid w:val="0"/>
                <w:color w:val="auto"/>
                <w:kern w:val="21"/>
                <w:sz w:val="24"/>
                <w:szCs w:val="24"/>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lang w:val="en-US" w:eastAsia="zh-CN" w:bidi="ar-SA"/>
              </w:rPr>
            </w:pPr>
            <w:r>
              <w:rPr>
                <w:rFonts w:ascii="Times New Roman" w:hAnsi="Times New Roman" w:eastAsia="宋体" w:cs="Times New Roman"/>
                <w:snapToGrid w:val="0"/>
                <w:color w:val="auto"/>
                <w:kern w:val="21"/>
                <w:sz w:val="24"/>
                <w:szCs w:val="24"/>
              </w:rPr>
              <w:t>/</w:t>
            </w:r>
          </w:p>
        </w:tc>
        <w:tc>
          <w:tcPr>
            <w:tcW w:w="170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rPr>
              <w:t>0.9</w:t>
            </w:r>
            <w:r>
              <w:rPr>
                <w:rFonts w:ascii="Times New Roman" w:hAnsi="Times New Roman" w:eastAsia="宋体" w:cs="Times New Roman"/>
                <w:snapToGrid w:val="0"/>
                <w:color w:val="auto"/>
                <w:kern w:val="21"/>
                <w:sz w:val="24"/>
                <w:szCs w:val="24"/>
              </w:rPr>
              <w:t>t/a</w:t>
            </w:r>
          </w:p>
        </w:tc>
        <w:tc>
          <w:tcPr>
            <w:tcW w:w="1788"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rPr>
              <w:t>+</w:t>
            </w:r>
            <w:r>
              <w:rPr>
                <w:rFonts w:hint="eastAsia" w:ascii="Times New Roman" w:hAnsi="Times New Roman" w:eastAsia="宋体" w:cs="Times New Roman"/>
                <w:snapToGrid w:val="0"/>
                <w:color w:val="auto"/>
                <w:kern w:val="21"/>
                <w:sz w:val="24"/>
                <w:szCs w:val="24"/>
                <w:lang w:val="en-US" w:eastAsia="zh-CN"/>
              </w:rPr>
              <w:t>0.9</w:t>
            </w:r>
            <w:r>
              <w:rPr>
                <w:rFonts w:ascii="Times New Roman" w:hAnsi="Times New Roman" w:eastAsia="宋体" w:cs="Times New Roman"/>
                <w:snapToGrid w:val="0"/>
                <w:color w:val="auto"/>
                <w:kern w:val="21"/>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4" w:type="dxa"/>
            <w:vMerge w:val="continue"/>
            <w:noWrap w:val="0"/>
            <w:vAlign w:val="center"/>
          </w:tcPr>
          <w:p>
            <w:pPr>
              <w:spacing w:beforeLines="0" w:afterLines="0" w:line="240" w:lineRule="auto"/>
              <w:jc w:val="center"/>
              <w:rPr>
                <w:rFonts w:ascii="Times New Roman" w:hAnsi="Times New Roman" w:eastAsia="宋体" w:cs="Times New Roman"/>
                <w:snapToGrid w:val="0"/>
                <w:color w:val="auto"/>
                <w:kern w:val="21"/>
                <w:sz w:val="24"/>
                <w:szCs w:val="24"/>
              </w:rPr>
            </w:pPr>
          </w:p>
        </w:tc>
        <w:tc>
          <w:tcPr>
            <w:tcW w:w="2660" w:type="dxa"/>
            <w:noWrap w:val="0"/>
            <w:vAlign w:val="center"/>
          </w:tcPr>
          <w:p>
            <w:pPr>
              <w:spacing w:beforeLines="0" w:afterLines="0" w:line="240" w:lineRule="auto"/>
              <w:jc w:val="center"/>
              <w:rPr>
                <w:rFonts w:hint="default" w:ascii="Times New Roman" w:hAnsi="Times New Roman" w:eastAsia="宋体" w:cs="Times New Roman"/>
                <w:snapToGrid w:val="0"/>
                <w:color w:val="FF0000"/>
                <w:kern w:val="21"/>
                <w:sz w:val="24"/>
                <w:szCs w:val="24"/>
                <w:highlight w:val="none"/>
                <w:lang w:val="en-US" w:eastAsia="zh-CN"/>
              </w:rPr>
            </w:pPr>
            <w:r>
              <w:rPr>
                <w:rFonts w:hint="eastAsia" w:cs="Times New Roman"/>
                <w:snapToGrid w:val="0"/>
                <w:color w:val="FF0000"/>
                <w:kern w:val="21"/>
                <w:sz w:val="24"/>
                <w:szCs w:val="24"/>
                <w:highlight w:val="none"/>
                <w:lang w:val="en-US" w:eastAsia="zh-CN"/>
              </w:rPr>
              <w:t>生物质燃料</w:t>
            </w:r>
            <w:r>
              <w:rPr>
                <w:rFonts w:hint="eastAsia" w:ascii="Times New Roman" w:hAnsi="Times New Roman" w:eastAsia="宋体" w:cs="Times New Roman"/>
                <w:snapToGrid w:val="0"/>
                <w:color w:val="FF0000"/>
                <w:kern w:val="21"/>
                <w:sz w:val="24"/>
                <w:szCs w:val="24"/>
                <w:highlight w:val="none"/>
                <w:lang w:val="en-US" w:eastAsia="zh-CN"/>
              </w:rPr>
              <w:t>灰</w:t>
            </w:r>
            <w:r>
              <w:rPr>
                <w:rFonts w:hint="eastAsia" w:cs="Times New Roman"/>
                <w:snapToGrid w:val="0"/>
                <w:color w:val="FF0000"/>
                <w:kern w:val="21"/>
                <w:sz w:val="24"/>
                <w:szCs w:val="24"/>
                <w:highlight w:val="none"/>
                <w:lang w:val="en-US" w:eastAsia="zh-CN"/>
              </w:rPr>
              <w:t>渣</w:t>
            </w:r>
          </w:p>
        </w:tc>
        <w:tc>
          <w:tcPr>
            <w:tcW w:w="1254"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ascii="Times New Roman" w:hAnsi="Times New Roman" w:eastAsia="宋体" w:cs="Times New Roman"/>
                <w:snapToGrid w:val="0"/>
                <w:color w:val="FF0000"/>
                <w:kern w:val="21"/>
                <w:sz w:val="24"/>
                <w:szCs w:val="24"/>
                <w:highlight w:val="none"/>
              </w:rPr>
              <w:t>/</w:t>
            </w:r>
          </w:p>
        </w:tc>
        <w:tc>
          <w:tcPr>
            <w:tcW w:w="886"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ascii="Times New Roman" w:hAnsi="Times New Roman" w:eastAsia="宋体" w:cs="Times New Roman"/>
                <w:snapToGrid w:val="0"/>
                <w:color w:val="FF0000"/>
                <w:kern w:val="21"/>
                <w:sz w:val="24"/>
                <w:szCs w:val="24"/>
                <w:highlight w:val="none"/>
              </w:rPr>
              <w:t>/</w:t>
            </w:r>
          </w:p>
        </w:tc>
        <w:tc>
          <w:tcPr>
            <w:tcW w:w="1432"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ascii="Times New Roman" w:hAnsi="Times New Roman" w:eastAsia="宋体" w:cs="Times New Roman"/>
                <w:snapToGrid w:val="0"/>
                <w:color w:val="FF0000"/>
                <w:kern w:val="21"/>
                <w:sz w:val="24"/>
                <w:szCs w:val="24"/>
                <w:highlight w:val="none"/>
              </w:rPr>
              <w:t>/</w:t>
            </w:r>
          </w:p>
        </w:tc>
        <w:tc>
          <w:tcPr>
            <w:tcW w:w="1650"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hint="eastAsia" w:cs="Times New Roman"/>
                <w:snapToGrid w:val="0"/>
                <w:color w:val="FF0000"/>
                <w:kern w:val="21"/>
                <w:sz w:val="24"/>
                <w:szCs w:val="24"/>
                <w:highlight w:val="none"/>
                <w:lang w:val="en-US" w:eastAsia="zh-CN"/>
              </w:rPr>
              <w:t>69.13</w:t>
            </w:r>
            <w:r>
              <w:rPr>
                <w:rFonts w:ascii="Times New Roman" w:hAnsi="Times New Roman" w:eastAsia="宋体" w:cs="Times New Roman"/>
                <w:snapToGrid w:val="0"/>
                <w:color w:val="FF0000"/>
                <w:kern w:val="21"/>
                <w:sz w:val="24"/>
                <w:szCs w:val="24"/>
                <w:highlight w:val="none"/>
              </w:rPr>
              <w:t>t/a</w:t>
            </w:r>
          </w:p>
        </w:tc>
        <w:tc>
          <w:tcPr>
            <w:tcW w:w="1609"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rPr>
            </w:pPr>
            <w:r>
              <w:rPr>
                <w:rFonts w:ascii="Times New Roman" w:hAnsi="Times New Roman" w:eastAsia="宋体" w:cs="Times New Roman"/>
                <w:snapToGrid w:val="0"/>
                <w:color w:val="FF0000"/>
                <w:kern w:val="21"/>
                <w:sz w:val="24"/>
                <w:szCs w:val="24"/>
                <w:highlight w:val="none"/>
              </w:rPr>
              <w:t>/</w:t>
            </w:r>
          </w:p>
        </w:tc>
        <w:tc>
          <w:tcPr>
            <w:tcW w:w="1705"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lang w:val="en-US" w:eastAsia="zh-CN" w:bidi="ar-SA"/>
              </w:rPr>
            </w:pPr>
            <w:r>
              <w:rPr>
                <w:rFonts w:hint="eastAsia" w:cs="Times New Roman"/>
                <w:snapToGrid w:val="0"/>
                <w:color w:val="FF0000"/>
                <w:kern w:val="21"/>
                <w:sz w:val="24"/>
                <w:szCs w:val="24"/>
                <w:highlight w:val="none"/>
                <w:lang w:val="en-US" w:eastAsia="zh-CN"/>
              </w:rPr>
              <w:t>69.13</w:t>
            </w:r>
            <w:r>
              <w:rPr>
                <w:rFonts w:ascii="Times New Roman" w:hAnsi="Times New Roman" w:eastAsia="宋体" w:cs="Times New Roman"/>
                <w:snapToGrid w:val="0"/>
                <w:color w:val="FF0000"/>
                <w:kern w:val="21"/>
                <w:sz w:val="24"/>
                <w:szCs w:val="24"/>
                <w:highlight w:val="none"/>
              </w:rPr>
              <w:t>t/a</w:t>
            </w:r>
          </w:p>
        </w:tc>
        <w:tc>
          <w:tcPr>
            <w:tcW w:w="1788" w:type="dxa"/>
            <w:noWrap w:val="0"/>
            <w:vAlign w:val="center"/>
          </w:tcPr>
          <w:p>
            <w:pPr>
              <w:spacing w:beforeLines="0" w:afterLines="0" w:line="240" w:lineRule="auto"/>
              <w:jc w:val="center"/>
              <w:rPr>
                <w:rFonts w:ascii="Times New Roman" w:hAnsi="Times New Roman" w:eastAsia="宋体" w:cs="Times New Roman"/>
                <w:snapToGrid w:val="0"/>
                <w:color w:val="FF0000"/>
                <w:kern w:val="21"/>
                <w:sz w:val="24"/>
                <w:szCs w:val="24"/>
                <w:highlight w:val="none"/>
                <w:lang w:val="en-US" w:eastAsia="zh-CN" w:bidi="ar-SA"/>
              </w:rPr>
            </w:pPr>
            <w:r>
              <w:rPr>
                <w:rFonts w:hint="eastAsia" w:ascii="Times New Roman" w:hAnsi="Times New Roman" w:eastAsia="宋体" w:cs="Times New Roman"/>
                <w:snapToGrid w:val="0"/>
                <w:color w:val="FF0000"/>
                <w:kern w:val="21"/>
                <w:sz w:val="24"/>
                <w:szCs w:val="24"/>
                <w:highlight w:val="none"/>
              </w:rPr>
              <w:t>+</w:t>
            </w:r>
            <w:r>
              <w:rPr>
                <w:rFonts w:hint="eastAsia" w:cs="Times New Roman"/>
                <w:snapToGrid w:val="0"/>
                <w:color w:val="FF0000"/>
                <w:kern w:val="21"/>
                <w:sz w:val="24"/>
                <w:szCs w:val="24"/>
                <w:highlight w:val="none"/>
                <w:lang w:val="en-US" w:eastAsia="zh-CN"/>
              </w:rPr>
              <w:t>69.13</w:t>
            </w:r>
            <w:r>
              <w:rPr>
                <w:rFonts w:ascii="Times New Roman" w:hAnsi="Times New Roman" w:eastAsia="宋体" w:cs="Times New Roman"/>
                <w:snapToGrid w:val="0"/>
                <w:color w:val="FF0000"/>
                <w:kern w:val="21"/>
                <w:sz w:val="24"/>
                <w:szCs w:val="24"/>
                <w:highlight w:val="none"/>
              </w:rPr>
              <w:t>t/a</w:t>
            </w:r>
          </w:p>
        </w:tc>
      </w:tr>
    </w:tbl>
    <w:p>
      <w:pPr>
        <w:spacing w:before="192" w:beforeLines="80" w:after="24" w:line="240" w:lineRule="auto"/>
        <w:jc w:val="left"/>
        <w:rPr>
          <w:rFonts w:ascii="Times New Roman"/>
          <w:snapToGrid w:val="0"/>
          <w:color w:val="auto"/>
          <w:spacing w:val="-6"/>
          <w:kern w:val="21"/>
          <w:sz w:val="18"/>
          <w:szCs w:val="18"/>
        </w:rPr>
        <w:sectPr>
          <w:footerReference r:id="rId8" w:type="default"/>
          <w:pgSz w:w="16838" w:h="11906" w:orient="landscape"/>
          <w:pgMar w:top="1701" w:right="1531" w:bottom="1701" w:left="1531" w:header="851" w:footer="851" w:gutter="0"/>
          <w:pgNumType w:fmt="decimal"/>
          <w:cols w:space="720" w:num="1"/>
          <w:docGrid w:linePitch="312" w:charSpace="0"/>
        </w:sectPr>
      </w:pPr>
      <w:r>
        <w:rPr>
          <w:rFonts w:ascii="Times New Roman"/>
          <w:snapToGrid w:val="0"/>
          <w:color w:val="auto"/>
          <w:kern w:val="21"/>
          <w:sz w:val="18"/>
          <w:szCs w:val="18"/>
        </w:rPr>
        <w:t>注：</w:t>
      </w:r>
      <w:r>
        <w:rPr>
          <w:rFonts w:ascii="Times New Roman"/>
          <w:snapToGrid w:val="0"/>
          <w:color w:val="auto"/>
          <w:spacing w:val="-16"/>
          <w:kern w:val="21"/>
          <w:sz w:val="18"/>
          <w:szCs w:val="18"/>
        </w:rPr>
        <w:fldChar w:fldCharType="begin"/>
      </w:r>
      <w:r>
        <w:rPr>
          <w:rFonts w:ascii="Times New Roman"/>
          <w:snapToGrid w:val="0"/>
          <w:color w:val="auto"/>
          <w:spacing w:val="-16"/>
          <w:kern w:val="21"/>
          <w:sz w:val="18"/>
          <w:szCs w:val="18"/>
        </w:rPr>
        <w:instrText xml:space="preserve"> = 6 \* GB3 \* MERGEFORMAT </w:instrText>
      </w:r>
      <w:r>
        <w:rPr>
          <w:rFonts w:ascii="Times New Roman"/>
          <w:snapToGrid w:val="0"/>
          <w:color w:val="auto"/>
          <w:spacing w:val="-16"/>
          <w:kern w:val="21"/>
          <w:sz w:val="18"/>
          <w:szCs w:val="18"/>
        </w:rPr>
        <w:fldChar w:fldCharType="separate"/>
      </w:r>
      <w:r>
        <w:rPr>
          <w:rFonts w:ascii="Times New Roman"/>
          <w:color w:val="auto"/>
          <w:sz w:val="18"/>
          <w:szCs w:val="18"/>
        </w:rPr>
        <w:t>⑥</w:t>
      </w:r>
      <w:r>
        <w:rPr>
          <w:rFonts w:ascii="Times New Roman"/>
          <w:snapToGrid w:val="0"/>
          <w:color w:val="auto"/>
          <w:spacing w:val="-16"/>
          <w:kern w:val="21"/>
          <w:sz w:val="18"/>
          <w:szCs w:val="18"/>
        </w:rPr>
        <w:fldChar w:fldCharType="end"/>
      </w:r>
      <w:r>
        <w:rPr>
          <w:rFonts w:ascii="Times New Roman"/>
          <w:snapToGrid w:val="0"/>
          <w:color w:val="auto"/>
          <w:spacing w:val="-16"/>
          <w:kern w:val="21"/>
          <w:sz w:val="18"/>
          <w:szCs w:val="18"/>
        </w:rPr>
        <w:t>=</w:t>
      </w:r>
      <w:r>
        <w:rPr>
          <w:rFonts w:ascii="Times New Roman"/>
          <w:snapToGrid w:val="0"/>
          <w:color w:val="auto"/>
          <w:spacing w:val="-6"/>
          <w:kern w:val="21"/>
          <w:sz w:val="18"/>
          <w:szCs w:val="18"/>
        </w:rPr>
        <w:fldChar w:fldCharType="begin"/>
      </w:r>
      <w:r>
        <w:rPr>
          <w:rFonts w:ascii="Times New Roman"/>
          <w:snapToGrid w:val="0"/>
          <w:color w:val="auto"/>
          <w:spacing w:val="-6"/>
          <w:kern w:val="21"/>
          <w:sz w:val="18"/>
          <w:szCs w:val="18"/>
        </w:rPr>
        <w:instrText xml:space="preserve"> = 1 \* GB3 \* MERGEFORMAT </w:instrText>
      </w:r>
      <w:r>
        <w:rPr>
          <w:rFonts w:ascii="Times New Roman"/>
          <w:snapToGrid w:val="0"/>
          <w:color w:val="auto"/>
          <w:spacing w:val="-6"/>
          <w:kern w:val="21"/>
          <w:sz w:val="18"/>
          <w:szCs w:val="18"/>
        </w:rPr>
        <w:fldChar w:fldCharType="separate"/>
      </w:r>
      <w:r>
        <w:rPr>
          <w:rFonts w:ascii="Times New Roman"/>
          <w:color w:val="auto"/>
          <w:sz w:val="18"/>
          <w:szCs w:val="18"/>
        </w:rPr>
        <w:t>①</w:t>
      </w:r>
      <w:r>
        <w:rPr>
          <w:rFonts w:ascii="Times New Roman"/>
          <w:snapToGrid w:val="0"/>
          <w:color w:val="auto"/>
          <w:spacing w:val="-6"/>
          <w:kern w:val="21"/>
          <w:sz w:val="18"/>
          <w:szCs w:val="18"/>
        </w:rPr>
        <w:fldChar w:fldCharType="end"/>
      </w:r>
      <w:r>
        <w:rPr>
          <w:rFonts w:ascii="Times New Roman"/>
          <w:snapToGrid w:val="0"/>
          <w:color w:val="auto"/>
          <w:spacing w:val="-6"/>
          <w:kern w:val="21"/>
          <w:sz w:val="18"/>
          <w:szCs w:val="18"/>
        </w:rPr>
        <w:t>+</w:t>
      </w:r>
      <w:r>
        <w:rPr>
          <w:rFonts w:ascii="Times New Roman"/>
          <w:snapToGrid w:val="0"/>
          <w:color w:val="auto"/>
          <w:spacing w:val="-6"/>
          <w:kern w:val="21"/>
          <w:sz w:val="18"/>
          <w:szCs w:val="18"/>
        </w:rPr>
        <w:fldChar w:fldCharType="begin"/>
      </w:r>
      <w:r>
        <w:rPr>
          <w:rFonts w:ascii="Times New Roman"/>
          <w:snapToGrid w:val="0"/>
          <w:color w:val="auto"/>
          <w:spacing w:val="-6"/>
          <w:kern w:val="21"/>
          <w:sz w:val="18"/>
          <w:szCs w:val="18"/>
        </w:rPr>
        <w:instrText xml:space="preserve"> = 3 \* GB3 \* MERGEFORMAT </w:instrText>
      </w:r>
      <w:r>
        <w:rPr>
          <w:rFonts w:ascii="Times New Roman"/>
          <w:snapToGrid w:val="0"/>
          <w:color w:val="auto"/>
          <w:spacing w:val="-6"/>
          <w:kern w:val="21"/>
          <w:sz w:val="18"/>
          <w:szCs w:val="18"/>
        </w:rPr>
        <w:fldChar w:fldCharType="separate"/>
      </w:r>
      <w:r>
        <w:rPr>
          <w:rFonts w:ascii="Times New Roman"/>
          <w:color w:val="auto"/>
          <w:sz w:val="18"/>
          <w:szCs w:val="18"/>
        </w:rPr>
        <w:t>③</w:t>
      </w:r>
      <w:r>
        <w:rPr>
          <w:rFonts w:ascii="Times New Roman"/>
          <w:snapToGrid w:val="0"/>
          <w:color w:val="auto"/>
          <w:spacing w:val="-6"/>
          <w:kern w:val="21"/>
          <w:sz w:val="18"/>
          <w:szCs w:val="18"/>
        </w:rPr>
        <w:fldChar w:fldCharType="end"/>
      </w:r>
      <w:r>
        <w:rPr>
          <w:rFonts w:ascii="Times New Roman"/>
          <w:snapToGrid w:val="0"/>
          <w:color w:val="auto"/>
          <w:spacing w:val="-6"/>
          <w:kern w:val="21"/>
          <w:sz w:val="18"/>
          <w:szCs w:val="18"/>
        </w:rPr>
        <w:t>+</w:t>
      </w:r>
      <w:r>
        <w:rPr>
          <w:rFonts w:ascii="Times New Roman"/>
          <w:snapToGrid w:val="0"/>
          <w:color w:val="auto"/>
          <w:spacing w:val="-6"/>
          <w:kern w:val="21"/>
          <w:sz w:val="18"/>
          <w:szCs w:val="18"/>
        </w:rPr>
        <w:fldChar w:fldCharType="begin"/>
      </w:r>
      <w:r>
        <w:rPr>
          <w:rFonts w:ascii="Times New Roman"/>
          <w:snapToGrid w:val="0"/>
          <w:color w:val="auto"/>
          <w:spacing w:val="-6"/>
          <w:kern w:val="21"/>
          <w:sz w:val="18"/>
          <w:szCs w:val="18"/>
        </w:rPr>
        <w:instrText xml:space="preserve"> = 4 \* GB3 \* MERGEFORMAT </w:instrText>
      </w:r>
      <w:r>
        <w:rPr>
          <w:rFonts w:ascii="Times New Roman"/>
          <w:snapToGrid w:val="0"/>
          <w:color w:val="auto"/>
          <w:spacing w:val="-6"/>
          <w:kern w:val="21"/>
          <w:sz w:val="18"/>
          <w:szCs w:val="18"/>
        </w:rPr>
        <w:fldChar w:fldCharType="separate"/>
      </w:r>
      <w:r>
        <w:rPr>
          <w:rFonts w:ascii="Times New Roman"/>
          <w:color w:val="auto"/>
          <w:sz w:val="18"/>
          <w:szCs w:val="18"/>
        </w:rPr>
        <w:t>④</w:t>
      </w:r>
      <w:r>
        <w:rPr>
          <w:rFonts w:ascii="Times New Roman"/>
          <w:snapToGrid w:val="0"/>
          <w:color w:val="auto"/>
          <w:spacing w:val="-6"/>
          <w:kern w:val="21"/>
          <w:sz w:val="18"/>
          <w:szCs w:val="18"/>
        </w:rPr>
        <w:fldChar w:fldCharType="end"/>
      </w:r>
      <w:r>
        <w:rPr>
          <w:rFonts w:ascii="Times New Roman"/>
          <w:snapToGrid w:val="0"/>
          <w:color w:val="auto"/>
          <w:spacing w:val="-6"/>
          <w:kern w:val="21"/>
          <w:sz w:val="18"/>
          <w:szCs w:val="18"/>
        </w:rPr>
        <w:t>-</w:t>
      </w:r>
      <w:r>
        <w:rPr>
          <w:rFonts w:ascii="Times New Roman"/>
          <w:snapToGrid w:val="0"/>
          <w:color w:val="auto"/>
          <w:spacing w:val="-16"/>
          <w:kern w:val="21"/>
          <w:sz w:val="18"/>
          <w:szCs w:val="18"/>
        </w:rPr>
        <w:fldChar w:fldCharType="begin"/>
      </w:r>
      <w:r>
        <w:rPr>
          <w:rFonts w:ascii="Times New Roman"/>
          <w:snapToGrid w:val="0"/>
          <w:color w:val="auto"/>
          <w:spacing w:val="-16"/>
          <w:kern w:val="21"/>
          <w:sz w:val="18"/>
          <w:szCs w:val="18"/>
        </w:rPr>
        <w:instrText xml:space="preserve"> = 5 \* GB3 \* MERGEFORMAT </w:instrText>
      </w:r>
      <w:r>
        <w:rPr>
          <w:rFonts w:ascii="Times New Roman"/>
          <w:snapToGrid w:val="0"/>
          <w:color w:val="auto"/>
          <w:spacing w:val="-16"/>
          <w:kern w:val="21"/>
          <w:sz w:val="18"/>
          <w:szCs w:val="18"/>
        </w:rPr>
        <w:fldChar w:fldCharType="separate"/>
      </w:r>
      <w:r>
        <w:rPr>
          <w:rFonts w:ascii="Times New Roman"/>
          <w:color w:val="auto"/>
          <w:sz w:val="18"/>
          <w:szCs w:val="18"/>
        </w:rPr>
        <w:t>⑤</w:t>
      </w:r>
      <w:r>
        <w:rPr>
          <w:rFonts w:ascii="Times New Roman"/>
          <w:snapToGrid w:val="0"/>
          <w:color w:val="auto"/>
          <w:spacing w:val="-16"/>
          <w:kern w:val="21"/>
          <w:sz w:val="18"/>
          <w:szCs w:val="18"/>
        </w:rPr>
        <w:fldChar w:fldCharType="end"/>
      </w:r>
      <w:r>
        <w:rPr>
          <w:rFonts w:ascii="Times New Roman"/>
          <w:snapToGrid w:val="0"/>
          <w:color w:val="auto"/>
          <w:spacing w:val="-16"/>
          <w:kern w:val="21"/>
          <w:sz w:val="18"/>
          <w:szCs w:val="18"/>
        </w:rPr>
        <w:t>；</w:t>
      </w:r>
      <w:r>
        <w:rPr>
          <w:rFonts w:ascii="Times New Roman"/>
          <w:snapToGrid w:val="0"/>
          <w:color w:val="auto"/>
          <w:spacing w:val="-6"/>
          <w:kern w:val="21"/>
          <w:sz w:val="18"/>
          <w:szCs w:val="18"/>
        </w:rPr>
        <w:fldChar w:fldCharType="begin"/>
      </w:r>
      <w:r>
        <w:rPr>
          <w:rFonts w:ascii="Times New Roman"/>
          <w:snapToGrid w:val="0"/>
          <w:color w:val="auto"/>
          <w:spacing w:val="-6"/>
          <w:kern w:val="21"/>
          <w:sz w:val="18"/>
          <w:szCs w:val="18"/>
        </w:rPr>
        <w:instrText xml:space="preserve"> = 7 \* GB3 \* MERGEFORMAT </w:instrText>
      </w:r>
      <w:r>
        <w:rPr>
          <w:rFonts w:ascii="Times New Roman"/>
          <w:snapToGrid w:val="0"/>
          <w:color w:val="auto"/>
          <w:spacing w:val="-6"/>
          <w:kern w:val="21"/>
          <w:sz w:val="18"/>
          <w:szCs w:val="18"/>
        </w:rPr>
        <w:fldChar w:fldCharType="separate"/>
      </w:r>
      <w:r>
        <w:rPr>
          <w:rFonts w:ascii="Times New Roman"/>
          <w:color w:val="auto"/>
          <w:sz w:val="18"/>
          <w:szCs w:val="18"/>
        </w:rPr>
        <w:t>⑦</w:t>
      </w:r>
      <w:r>
        <w:rPr>
          <w:rFonts w:ascii="Times New Roman"/>
          <w:snapToGrid w:val="0"/>
          <w:color w:val="auto"/>
          <w:spacing w:val="-6"/>
          <w:kern w:val="21"/>
          <w:sz w:val="18"/>
          <w:szCs w:val="18"/>
        </w:rPr>
        <w:fldChar w:fldCharType="end"/>
      </w:r>
      <w:r>
        <w:rPr>
          <w:rFonts w:ascii="Times New Roman"/>
          <w:snapToGrid w:val="0"/>
          <w:color w:val="auto"/>
          <w:spacing w:val="-6"/>
          <w:kern w:val="21"/>
          <w:sz w:val="18"/>
          <w:szCs w:val="18"/>
        </w:rPr>
        <w:t>=</w:t>
      </w:r>
      <w:r>
        <w:rPr>
          <w:rFonts w:ascii="Times New Roman"/>
          <w:snapToGrid w:val="0"/>
          <w:color w:val="auto"/>
          <w:spacing w:val="-16"/>
          <w:kern w:val="21"/>
          <w:sz w:val="18"/>
          <w:szCs w:val="18"/>
        </w:rPr>
        <w:fldChar w:fldCharType="begin"/>
      </w:r>
      <w:r>
        <w:rPr>
          <w:rFonts w:ascii="Times New Roman"/>
          <w:snapToGrid w:val="0"/>
          <w:color w:val="auto"/>
          <w:spacing w:val="-16"/>
          <w:kern w:val="21"/>
          <w:sz w:val="18"/>
          <w:szCs w:val="18"/>
        </w:rPr>
        <w:instrText xml:space="preserve"> = 6 \* GB3 \* MERGEFORMAT </w:instrText>
      </w:r>
      <w:r>
        <w:rPr>
          <w:rFonts w:ascii="Times New Roman"/>
          <w:snapToGrid w:val="0"/>
          <w:color w:val="auto"/>
          <w:spacing w:val="-16"/>
          <w:kern w:val="21"/>
          <w:sz w:val="18"/>
          <w:szCs w:val="18"/>
        </w:rPr>
        <w:fldChar w:fldCharType="separate"/>
      </w:r>
      <w:r>
        <w:rPr>
          <w:rFonts w:ascii="Times New Roman"/>
          <w:color w:val="auto"/>
          <w:sz w:val="18"/>
          <w:szCs w:val="18"/>
        </w:rPr>
        <w:t>⑥</w:t>
      </w:r>
      <w:r>
        <w:rPr>
          <w:rFonts w:ascii="Times New Roman"/>
          <w:snapToGrid w:val="0"/>
          <w:color w:val="auto"/>
          <w:spacing w:val="-16"/>
          <w:kern w:val="21"/>
          <w:sz w:val="18"/>
          <w:szCs w:val="18"/>
        </w:rPr>
        <w:fldChar w:fldCharType="end"/>
      </w:r>
      <w:r>
        <w:rPr>
          <w:rFonts w:ascii="Times New Roman"/>
          <w:snapToGrid w:val="0"/>
          <w:color w:val="auto"/>
          <w:spacing w:val="-16"/>
          <w:kern w:val="21"/>
          <w:sz w:val="18"/>
          <w:szCs w:val="18"/>
        </w:rPr>
        <w:t>-</w:t>
      </w:r>
      <w:r>
        <w:rPr>
          <w:rFonts w:ascii="Times New Roman"/>
          <w:snapToGrid w:val="0"/>
          <w:color w:val="auto"/>
          <w:spacing w:val="-6"/>
          <w:kern w:val="21"/>
          <w:sz w:val="18"/>
          <w:szCs w:val="18"/>
        </w:rPr>
        <w:fldChar w:fldCharType="begin"/>
      </w:r>
      <w:r>
        <w:rPr>
          <w:rFonts w:ascii="Times New Roman"/>
          <w:snapToGrid w:val="0"/>
          <w:color w:val="auto"/>
          <w:spacing w:val="-6"/>
          <w:kern w:val="21"/>
          <w:sz w:val="18"/>
          <w:szCs w:val="18"/>
        </w:rPr>
        <w:instrText xml:space="preserve"> = 1 \* GB3 \* MERGEFORMAT </w:instrText>
      </w:r>
      <w:r>
        <w:rPr>
          <w:rFonts w:ascii="Times New Roman"/>
          <w:snapToGrid w:val="0"/>
          <w:color w:val="auto"/>
          <w:spacing w:val="-6"/>
          <w:kern w:val="21"/>
          <w:sz w:val="18"/>
          <w:szCs w:val="18"/>
        </w:rPr>
        <w:fldChar w:fldCharType="separate"/>
      </w:r>
      <w:r>
        <w:rPr>
          <w:rFonts w:ascii="Times New Roman"/>
          <w:color w:val="auto"/>
          <w:sz w:val="18"/>
          <w:szCs w:val="18"/>
        </w:rPr>
        <w:t>①</w:t>
      </w:r>
      <w:r>
        <w:rPr>
          <w:rFonts w:ascii="Times New Roman"/>
          <w:snapToGrid w:val="0"/>
          <w:color w:val="auto"/>
          <w:spacing w:val="-6"/>
          <w:kern w:val="21"/>
          <w:sz w:val="18"/>
          <w:szCs w:val="18"/>
        </w:rPr>
        <w:fldChar w:fldCharType="end"/>
      </w:r>
    </w:p>
    <w:p>
      <w:pPr>
        <w:bidi w:val="0"/>
        <w:spacing w:line="240" w:lineRule="auto"/>
        <w:jc w:val="center"/>
      </w:pPr>
      <w:r>
        <mc:AlternateContent>
          <mc:Choice Requires="wps">
            <w:drawing>
              <wp:anchor distT="0" distB="0" distL="114300" distR="114300" simplePos="0" relativeHeight="251662336" behindDoc="0" locked="0" layoutInCell="1" allowOverlap="1">
                <wp:simplePos x="0" y="0"/>
                <wp:positionH relativeFrom="column">
                  <wp:posOffset>2382520</wp:posOffset>
                </wp:positionH>
                <wp:positionV relativeFrom="paragraph">
                  <wp:posOffset>1484630</wp:posOffset>
                </wp:positionV>
                <wp:extent cx="754380" cy="261620"/>
                <wp:effectExtent l="95250" t="4445" r="7620" b="229235"/>
                <wp:wrapNone/>
                <wp:docPr id="32" name="矩形标注 32"/>
                <wp:cNvGraphicFramePr/>
                <a:graphic xmlns:a="http://schemas.openxmlformats.org/drawingml/2006/main">
                  <a:graphicData uri="http://schemas.microsoft.com/office/word/2010/wordprocessingShape">
                    <wps:wsp>
                      <wps:cNvSpPr/>
                      <wps:spPr>
                        <a:xfrm>
                          <a:off x="0" y="0"/>
                          <a:ext cx="754380" cy="261620"/>
                        </a:xfrm>
                        <a:prstGeom prst="wedgeRectCallout">
                          <a:avLst>
                            <a:gd name="adj1" fmla="val -61958"/>
                            <a:gd name="adj2" fmla="val 130235"/>
                          </a:avLst>
                        </a:prstGeom>
                        <a:solidFill>
                          <a:srgbClr val="FFFF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color w:val="FF0000"/>
                                <w:highlight w:val="yellow"/>
                              </w:rPr>
                            </w:pPr>
                            <w:r>
                              <w:rPr>
                                <w:rFonts w:hint="eastAsia"/>
                                <w:color w:val="FF0000"/>
                                <w:sz w:val="21"/>
                                <w:szCs w:val="21"/>
                              </w:rPr>
                              <w:t>项目位</w:t>
                            </w:r>
                            <w:r>
                              <w:rPr>
                                <w:rFonts w:hint="eastAsia"/>
                                <w:color w:val="FF0000"/>
                                <w:highlight w:val="yellow"/>
                              </w:rPr>
                              <w:t>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7.6pt;margin-top:116.9pt;height:20.6pt;width:59.4pt;z-index:251662336;v-text-anchor:middle;mso-width-relative:page;mso-height-relative:page;" fillcolor="#FFFF00" filled="t" stroked="t" coordsize="21600,21600" o:gfxdata="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hzbf2QAAAAsBAAAPAAAAAAAAAAEAIAAAACIAAABkcnMvZG93bnJl&#10;di54bWxQSwECFAAUAAAACACHTuJA/dNX5qcCAABNBQAADgAAAAAAAAABACAAAAAoAQAAZHJzL2Uy&#10;b0RvYy54bWxQSwUGAAAAAAYABgBZAQAAQQYAAAAA&#10;" adj="-2583,38931">
                <v:fill on="t" focussize="0,0"/>
                <v:stroke weight="0.25pt" color="#000000 [3213]" joinstyle="round"/>
                <v:imagedata o:title=""/>
                <o:lock v:ext="edit" aspectratio="f"/>
                <v:textbox>
                  <w:txbxContent>
                    <w:p>
                      <w:pPr>
                        <w:spacing w:line="240" w:lineRule="auto"/>
                        <w:jc w:val="center"/>
                        <w:rPr>
                          <w:color w:val="FF0000"/>
                          <w:highlight w:val="yellow"/>
                        </w:rPr>
                      </w:pPr>
                      <w:r>
                        <w:rPr>
                          <w:rFonts w:hint="eastAsia"/>
                          <w:color w:val="FF0000"/>
                          <w:sz w:val="21"/>
                          <w:szCs w:val="21"/>
                        </w:rPr>
                        <w:t>项目位</w:t>
                      </w:r>
                      <w:r>
                        <w:rPr>
                          <w:rFonts w:hint="eastAsia"/>
                          <w:color w:val="FF0000"/>
                          <w:highlight w:val="yellow"/>
                        </w:rPr>
                        <w:t>置</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2111375</wp:posOffset>
                </wp:positionH>
                <wp:positionV relativeFrom="paragraph">
                  <wp:posOffset>1814830</wp:posOffset>
                </wp:positionV>
                <wp:extent cx="278130" cy="238125"/>
                <wp:effectExtent l="0" t="0" r="7620" b="9525"/>
                <wp:wrapNone/>
                <wp:docPr id="31" name="五角星 31"/>
                <wp:cNvGraphicFramePr/>
                <a:graphic xmlns:a="http://schemas.openxmlformats.org/drawingml/2006/main">
                  <a:graphicData uri="http://schemas.microsoft.com/office/word/2010/wordprocessingShape">
                    <wps:wsp>
                      <wps:cNvSpPr/>
                      <wps:spPr>
                        <a:xfrm>
                          <a:off x="0" y="0"/>
                          <a:ext cx="278130" cy="238125"/>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6.25pt;margin-top:142.9pt;height:18.75pt;width:21.9pt;z-index:251661312;v-text-anchor:middle;mso-width-relative:page;mso-height-relative:page;" fillcolor="#FF0000" filled="t" stroked="f" coordsize="278130,238125" o:gfxdata="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97VgldoAAAALAQAADwAAAAAAAAABACAAAAAiAAAAZHJzL2Rvd25yZXYueG1sUEsB&#10;AhQAFAAAAAgAh07iQFETe6ZlAgAAuQQAAA4AAAAAAAAAAQAgAAAAKQEAAGRycy9lMm9Eb2MueG1s&#10;UEsFBgAAAAAGAAYAWQEAAAAGAAAAAA==&#10;" path="m0,90955l106236,90956,139065,0,171893,90956,278129,90955,192182,147168,225011,238124,139065,181910,53118,238124,85947,147168xe">
                <v:path o:connectlocs="139065,0;0,90955;53118,238124;225011,238124;278129,90955" o:connectangles="247,164,82,82,0"/>
                <v:fill on="t" focussize="0,0"/>
                <v:stroke on="f" weight="2pt"/>
                <v:imagedata o:title=""/>
                <o:lock v:ext="edit" aspectratio="f"/>
              </v:shape>
            </w:pict>
          </mc:Fallback>
        </mc:AlternateContent>
      </w:r>
      <w:r>
        <w:rPr>
          <w:rFonts w:ascii="宋体" w:hAnsi="宋体"/>
          <w:sz w:val="32"/>
          <w:szCs w:val="32"/>
        </w:rPr>
        <w:drawing>
          <wp:inline distT="0" distB="0" distL="114300" distR="114300">
            <wp:extent cx="8554085" cy="6057900"/>
            <wp:effectExtent l="0" t="0" r="18415" b="0"/>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20"/>
                    <a:stretch>
                      <a:fillRect/>
                    </a:stretch>
                  </pic:blipFill>
                  <pic:spPr>
                    <a:xfrm>
                      <a:off x="0" y="0"/>
                      <a:ext cx="8554085" cy="6057900"/>
                    </a:xfrm>
                    <a:prstGeom prst="rect">
                      <a:avLst/>
                    </a:prstGeom>
                    <a:noFill/>
                    <a:ln>
                      <a:noFill/>
                    </a:ln>
                  </pic:spPr>
                </pic:pic>
              </a:graphicData>
            </a:graphic>
          </wp:inline>
        </w:drawing>
      </w:r>
    </w:p>
    <w:p>
      <w:pPr>
        <w:bidi w:val="0"/>
        <w:spacing w:line="240" w:lineRule="auto"/>
        <w:jc w:val="center"/>
        <w:outlineLvl w:val="0"/>
        <w:rPr>
          <w:b/>
          <w:bCs/>
          <w:sz w:val="24"/>
          <w:szCs w:val="24"/>
        </w:rPr>
        <w:sectPr>
          <w:pgSz w:w="16838" w:h="11906" w:orient="landscape"/>
          <w:pgMar w:top="720" w:right="720" w:bottom="720" w:left="720" w:header="851" w:footer="851" w:gutter="0"/>
          <w:pgNumType w:fmt="decimal"/>
          <w:cols w:space="720" w:num="1"/>
          <w:docGrid w:linePitch="312" w:charSpace="0"/>
        </w:sectPr>
      </w:pPr>
      <w:r>
        <w:rPr>
          <w:b/>
          <w:bCs/>
          <w:sz w:val="24"/>
          <w:szCs w:val="24"/>
        </w:rPr>
        <w:t>附图1 项目地理位置图</w:t>
      </w:r>
    </w:p>
    <w:p>
      <w:pPr>
        <w:bidi w:val="0"/>
        <w:spacing w:line="240" w:lineRule="auto"/>
        <w:jc w:val="center"/>
        <w:rPr>
          <w:rFonts w:hint="eastAsia" w:eastAsia="宋体"/>
          <w:lang w:eastAsia="zh-CN"/>
        </w:rPr>
      </w:pPr>
      <w:r>
        <w:rPr>
          <w:rFonts w:hint="eastAsia" w:eastAsia="宋体"/>
          <w:lang w:eastAsia="zh-CN"/>
        </w:rPr>
        <w:drawing>
          <wp:inline distT="0" distB="0" distL="114300" distR="114300">
            <wp:extent cx="8448040" cy="6062980"/>
            <wp:effectExtent l="0" t="0" r="10160" b="13970"/>
            <wp:docPr id="2" name="图片 2" descr="总平面布置图 - 副本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总平面布置图 - 副本_00"/>
                    <pic:cNvPicPr>
                      <a:picLocks noChangeAspect="1"/>
                    </pic:cNvPicPr>
                  </pic:nvPicPr>
                  <pic:blipFill>
                    <a:blip r:embed="rId21"/>
                    <a:srcRect l="6167" t="4371" r="3852" b="4291"/>
                    <a:stretch>
                      <a:fillRect/>
                    </a:stretch>
                  </pic:blipFill>
                  <pic:spPr>
                    <a:xfrm>
                      <a:off x="0" y="0"/>
                      <a:ext cx="8448040" cy="6062980"/>
                    </a:xfrm>
                    <a:prstGeom prst="rect">
                      <a:avLst/>
                    </a:prstGeom>
                  </pic:spPr>
                </pic:pic>
              </a:graphicData>
            </a:graphic>
          </wp:inline>
        </w:drawing>
      </w:r>
    </w:p>
    <w:p>
      <w:pPr>
        <w:bidi w:val="0"/>
        <w:spacing w:line="240" w:lineRule="auto"/>
        <w:jc w:val="center"/>
        <w:outlineLvl w:val="0"/>
        <w:rPr>
          <w:rFonts w:hint="eastAsia"/>
          <w:b/>
          <w:bCs/>
          <w:sz w:val="24"/>
          <w:szCs w:val="24"/>
        </w:rPr>
        <w:sectPr>
          <w:pgSz w:w="16838" w:h="11906" w:orient="landscape"/>
          <w:pgMar w:top="720" w:right="720" w:bottom="720" w:left="720" w:header="851" w:footer="851" w:gutter="0"/>
          <w:pgNumType w:fmt="decimal"/>
          <w:cols w:space="720" w:num="1"/>
          <w:docGrid w:linePitch="312" w:charSpace="0"/>
        </w:sectPr>
      </w:pPr>
      <w:r>
        <w:rPr>
          <w:rFonts w:hint="eastAsia"/>
          <w:b/>
          <w:bCs/>
          <w:sz w:val="24"/>
          <w:szCs w:val="24"/>
        </w:rPr>
        <w:t>附图2 厂区平面布置图</w:t>
      </w:r>
    </w:p>
    <w:p>
      <w:pPr>
        <w:pStyle w:val="19"/>
        <w:spacing w:line="240" w:lineRule="auto"/>
        <w:jc w:val="center"/>
        <w:rPr>
          <w:rFonts w:hint="eastAsia" w:eastAsia="宋体"/>
          <w:b/>
          <w:bCs/>
          <w:sz w:val="24"/>
          <w:szCs w:val="24"/>
          <w:lang w:eastAsia="zh-CN"/>
        </w:rPr>
      </w:pPr>
    </w:p>
    <w:p>
      <w:pPr>
        <w:spacing w:line="360" w:lineRule="auto"/>
        <w:jc w:val="center"/>
        <w:rPr>
          <w:rFonts w:hint="eastAsia" w:eastAsia="宋体"/>
          <w:b/>
          <w:bCs/>
          <w:sz w:val="24"/>
          <w:szCs w:val="24"/>
          <w:lang w:eastAsia="zh-CN"/>
        </w:rPr>
      </w:pPr>
      <w:r>
        <w:rPr>
          <w:rFonts w:hint="eastAsia" w:eastAsia="宋体"/>
          <w:b/>
          <w:bCs/>
          <w:sz w:val="24"/>
          <w:szCs w:val="24"/>
          <w:lang w:eastAsia="zh-CN"/>
        </w:rPr>
        <w:drawing>
          <wp:inline distT="0" distB="0" distL="114300" distR="114300">
            <wp:extent cx="8978900" cy="4846320"/>
            <wp:effectExtent l="0" t="0" r="12700" b="11430"/>
            <wp:docPr id="29" name="图片 29" descr="蒙仓商贸方案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蒙仓商贸方案2_00"/>
                    <pic:cNvPicPr>
                      <a:picLocks noChangeAspect="1"/>
                    </pic:cNvPicPr>
                  </pic:nvPicPr>
                  <pic:blipFill>
                    <a:blip r:embed="rId22"/>
                    <a:srcRect t="55" r="275" b="15938"/>
                    <a:stretch>
                      <a:fillRect/>
                    </a:stretch>
                  </pic:blipFill>
                  <pic:spPr>
                    <a:xfrm>
                      <a:off x="0" y="0"/>
                      <a:ext cx="8978900" cy="4846320"/>
                    </a:xfrm>
                    <a:prstGeom prst="rect">
                      <a:avLst/>
                    </a:prstGeom>
                  </pic:spPr>
                </pic:pic>
              </a:graphicData>
            </a:graphic>
          </wp:inline>
        </w:drawing>
      </w:r>
    </w:p>
    <w:p>
      <w:pPr>
        <w:jc w:val="center"/>
        <w:outlineLvl w:val="0"/>
        <w:rPr>
          <w:rFonts w:hint="eastAsia" w:eastAsia="宋体"/>
          <w:lang w:eastAsia="zh-CN"/>
        </w:rPr>
        <w:sectPr>
          <w:pgSz w:w="16838" w:h="11906" w:orient="landscape"/>
          <w:pgMar w:top="720" w:right="720" w:bottom="720" w:left="720" w:header="851" w:footer="851" w:gutter="0"/>
          <w:pgNumType w:fmt="decimal"/>
          <w:cols w:space="720" w:num="1"/>
          <w:docGrid w:linePitch="312" w:charSpace="0"/>
        </w:sectPr>
      </w:pPr>
      <w:r>
        <w:rPr>
          <w:rFonts w:hint="eastAsia"/>
          <w:b/>
          <w:bCs/>
          <w:sz w:val="24"/>
          <w:szCs w:val="24"/>
        </w:rPr>
        <w:t>附图</w:t>
      </w:r>
      <w:r>
        <w:rPr>
          <w:rFonts w:hint="eastAsia"/>
          <w:b/>
          <w:bCs/>
          <w:sz w:val="24"/>
          <w:szCs w:val="24"/>
          <w:lang w:val="en-US" w:eastAsia="zh-CN"/>
        </w:rPr>
        <w:t>3</w:t>
      </w:r>
      <w:r>
        <w:rPr>
          <w:rFonts w:hint="eastAsia"/>
          <w:b/>
          <w:bCs/>
          <w:sz w:val="24"/>
          <w:szCs w:val="24"/>
        </w:rPr>
        <w:t xml:space="preserve"> </w:t>
      </w:r>
      <w:r>
        <w:rPr>
          <w:rFonts w:hint="eastAsia"/>
          <w:b/>
          <w:bCs/>
          <w:sz w:val="24"/>
          <w:szCs w:val="24"/>
          <w:lang w:val="en-US" w:eastAsia="zh-CN"/>
        </w:rPr>
        <w:t>车间</w:t>
      </w:r>
      <w:r>
        <w:rPr>
          <w:rFonts w:hint="eastAsia"/>
          <w:b/>
          <w:bCs/>
          <w:sz w:val="24"/>
          <w:szCs w:val="24"/>
        </w:rPr>
        <w:t>平面布置图</w:t>
      </w:r>
    </w:p>
    <w:p>
      <w:pPr>
        <w:bidi w:val="0"/>
        <w:rPr>
          <w:rFonts w:hint="eastAsia"/>
        </w:rPr>
      </w:pPr>
      <w:r>
        <w:drawing>
          <wp:inline distT="0" distB="0" distL="114300" distR="114300">
            <wp:extent cx="8742045" cy="4867910"/>
            <wp:effectExtent l="0" t="0" r="1905" b="889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3"/>
                    <a:stretch>
                      <a:fillRect/>
                    </a:stretch>
                  </pic:blipFill>
                  <pic:spPr>
                    <a:xfrm>
                      <a:off x="0" y="0"/>
                      <a:ext cx="8742045" cy="4867910"/>
                    </a:xfrm>
                    <a:prstGeom prst="rect">
                      <a:avLst/>
                    </a:prstGeom>
                    <a:noFill/>
                    <a:ln>
                      <a:noFill/>
                    </a:ln>
                  </pic:spPr>
                </pic:pic>
              </a:graphicData>
            </a:graphic>
          </wp:inline>
        </w:drawing>
      </w:r>
    </w:p>
    <w:p>
      <w:pPr>
        <w:bidi w:val="0"/>
        <w:spacing w:line="240" w:lineRule="auto"/>
        <w:jc w:val="center"/>
        <w:outlineLvl w:val="0"/>
        <w:rPr>
          <w:rFonts w:hint="eastAsia"/>
          <w:b/>
          <w:bCs/>
          <w:sz w:val="24"/>
          <w:szCs w:val="24"/>
        </w:rPr>
        <w:sectPr>
          <w:pgSz w:w="16838" w:h="11906" w:orient="landscape"/>
          <w:pgMar w:top="1701" w:right="1531" w:bottom="1701" w:left="1531" w:header="851" w:footer="851" w:gutter="0"/>
          <w:pgNumType w:fmt="decimal"/>
          <w:cols w:space="720" w:num="1"/>
          <w:docGrid w:linePitch="312" w:charSpace="0"/>
        </w:sectPr>
      </w:pPr>
      <w:r>
        <w:rPr>
          <w:rFonts w:hint="eastAsia"/>
          <w:b/>
          <w:bCs/>
          <w:sz w:val="24"/>
          <w:szCs w:val="24"/>
        </w:rPr>
        <w:t>附图</w:t>
      </w:r>
      <w:r>
        <w:rPr>
          <w:rFonts w:hint="eastAsia"/>
          <w:b/>
          <w:bCs/>
          <w:sz w:val="24"/>
          <w:szCs w:val="24"/>
          <w:lang w:val="en-US" w:eastAsia="zh-CN"/>
        </w:rPr>
        <w:t>4</w:t>
      </w:r>
      <w:r>
        <w:rPr>
          <w:rFonts w:hint="eastAsia"/>
          <w:b/>
          <w:bCs/>
          <w:sz w:val="24"/>
          <w:szCs w:val="24"/>
        </w:rPr>
        <w:t xml:space="preserve"> 环境质量现状监测布点图</w:t>
      </w:r>
    </w:p>
    <w:p>
      <w:pPr>
        <w:bidi w:val="0"/>
        <w:spacing w:line="240" w:lineRule="auto"/>
        <w:jc w:val="center"/>
        <w:rPr>
          <w:rFonts w:hint="eastAsia"/>
        </w:rPr>
      </w:pPr>
      <w:r>
        <w:drawing>
          <wp:inline distT="0" distB="0" distL="114300" distR="114300">
            <wp:extent cx="8401050" cy="5153660"/>
            <wp:effectExtent l="0" t="0" r="0" b="889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24"/>
                    <a:stretch>
                      <a:fillRect/>
                    </a:stretch>
                  </pic:blipFill>
                  <pic:spPr>
                    <a:xfrm>
                      <a:off x="0" y="0"/>
                      <a:ext cx="8401050" cy="5153660"/>
                    </a:xfrm>
                    <a:prstGeom prst="rect">
                      <a:avLst/>
                    </a:prstGeom>
                    <a:noFill/>
                    <a:ln>
                      <a:noFill/>
                    </a:ln>
                  </pic:spPr>
                </pic:pic>
              </a:graphicData>
            </a:graphic>
          </wp:inline>
        </w:drawing>
      </w:r>
    </w:p>
    <w:p>
      <w:pPr>
        <w:bidi w:val="0"/>
        <w:spacing w:line="240" w:lineRule="auto"/>
        <w:jc w:val="center"/>
        <w:outlineLvl w:val="0"/>
        <w:rPr>
          <w:rFonts w:hint="eastAsia"/>
          <w:b/>
          <w:bCs/>
          <w:color w:val="FF0000"/>
          <w:sz w:val="24"/>
          <w:szCs w:val="24"/>
          <w:highlight w:val="none"/>
        </w:rPr>
        <w:sectPr>
          <w:pgSz w:w="16838" w:h="11906" w:orient="landscape"/>
          <w:pgMar w:top="1440" w:right="1800" w:bottom="1440" w:left="1800" w:header="851" w:footer="851" w:gutter="0"/>
          <w:pgNumType w:fmt="decimal"/>
          <w:cols w:space="720" w:num="1"/>
          <w:docGrid w:linePitch="312" w:charSpace="0"/>
        </w:sectPr>
      </w:pPr>
      <w:r>
        <w:rPr>
          <w:rFonts w:hint="eastAsia"/>
          <w:b/>
          <w:bCs/>
          <w:color w:val="FF0000"/>
          <w:sz w:val="24"/>
          <w:szCs w:val="24"/>
          <w:highlight w:val="none"/>
        </w:rPr>
        <w:t>附图</w:t>
      </w:r>
      <w:r>
        <w:rPr>
          <w:rFonts w:hint="eastAsia"/>
          <w:b/>
          <w:bCs/>
          <w:color w:val="FF0000"/>
          <w:sz w:val="24"/>
          <w:szCs w:val="24"/>
          <w:highlight w:val="none"/>
          <w:lang w:val="en-US" w:eastAsia="zh-CN"/>
        </w:rPr>
        <w:t>5</w:t>
      </w:r>
      <w:r>
        <w:rPr>
          <w:rFonts w:hint="eastAsia"/>
          <w:b/>
          <w:bCs/>
          <w:color w:val="FF0000"/>
          <w:sz w:val="24"/>
          <w:szCs w:val="24"/>
          <w:highlight w:val="none"/>
        </w:rPr>
        <w:t xml:space="preserve"> 环境保护目标分布图</w:t>
      </w:r>
    </w:p>
    <w:p>
      <w:pPr>
        <w:bidi w:val="0"/>
        <w:rPr>
          <w:rFonts w:hint="eastAsia"/>
        </w:rPr>
      </w:pPr>
    </w:p>
    <w:p>
      <w:pPr>
        <w:bidi w:val="0"/>
        <w:spacing w:line="240" w:lineRule="auto"/>
        <w:jc w:val="center"/>
      </w:pPr>
    </w:p>
    <w:p>
      <w:pPr>
        <w:ind w:left="-1"/>
        <w:outlineLvl w:val="0"/>
        <w:rPr>
          <w:b/>
          <w:bCs/>
          <w:sz w:val="30"/>
          <w:szCs w:val="30"/>
        </w:rPr>
      </w:pPr>
      <w:bookmarkStart w:id="5" w:name="_Toc91668609"/>
      <w:r>
        <w:rPr>
          <w:b/>
          <w:bCs/>
          <w:sz w:val="30"/>
          <w:szCs w:val="30"/>
        </w:rPr>
        <w:t>附件1 委托书</w:t>
      </w:r>
      <w:bookmarkEnd w:id="5"/>
    </w:p>
    <w:p>
      <w:pPr>
        <w:bidi w:val="0"/>
        <w:jc w:val="center"/>
        <w:rPr>
          <w:rFonts w:hint="eastAsia" w:eastAsia="宋体"/>
          <w:lang w:eastAsia="zh-CN"/>
        </w:rPr>
      </w:pPr>
      <w:r>
        <w:rPr>
          <w:rFonts w:hint="eastAsia" w:eastAsia="宋体"/>
          <w:lang w:eastAsia="zh-CN"/>
        </w:rPr>
        <w:drawing>
          <wp:inline distT="0" distB="0" distL="114300" distR="114300">
            <wp:extent cx="5398770" cy="7359650"/>
            <wp:effectExtent l="0" t="0" r="11430" b="12700"/>
            <wp:docPr id="7" name="图片 7"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委托书"/>
                    <pic:cNvPicPr>
                      <a:picLocks noChangeAspect="1"/>
                    </pic:cNvPicPr>
                  </pic:nvPicPr>
                  <pic:blipFill>
                    <a:blip r:embed="rId25"/>
                    <a:stretch>
                      <a:fillRect/>
                    </a:stretch>
                  </pic:blipFill>
                  <pic:spPr>
                    <a:xfrm>
                      <a:off x="0" y="0"/>
                      <a:ext cx="5398770" cy="7359650"/>
                    </a:xfrm>
                    <a:prstGeom prst="rect">
                      <a:avLst/>
                    </a:prstGeom>
                  </pic:spPr>
                </pic:pic>
              </a:graphicData>
            </a:graphic>
          </wp:inline>
        </w:drawing>
      </w:r>
    </w:p>
    <w:p>
      <w:pPr>
        <w:bidi w:val="0"/>
        <w:sectPr>
          <w:pgSz w:w="11906" w:h="16838"/>
          <w:pgMar w:top="1531" w:right="1701" w:bottom="1531" w:left="1701" w:header="851" w:footer="851" w:gutter="0"/>
          <w:pgNumType w:fmt="decimal"/>
          <w:cols w:space="720" w:num="1"/>
          <w:docGrid w:linePitch="312" w:charSpace="0"/>
        </w:sectPr>
      </w:pPr>
    </w:p>
    <w:p>
      <w:pPr>
        <w:outlineLvl w:val="0"/>
        <w:rPr>
          <w:b/>
          <w:bCs/>
          <w:sz w:val="30"/>
          <w:szCs w:val="30"/>
        </w:rPr>
      </w:pPr>
      <w:r>
        <w:rPr>
          <w:b/>
          <w:bCs/>
          <w:sz w:val="30"/>
          <w:szCs w:val="30"/>
        </w:rPr>
        <w:t>附件2 项目备案文件</w:t>
      </w:r>
    </w:p>
    <w:p>
      <w:pPr>
        <w:bidi w:val="0"/>
        <w:spacing w:line="240" w:lineRule="auto"/>
        <w:jc w:val="center"/>
        <w:rPr>
          <w:rFonts w:hint="eastAsia" w:eastAsia="宋体"/>
          <w:lang w:eastAsia="zh-CN"/>
        </w:rPr>
        <w:sectPr>
          <w:pgSz w:w="11906" w:h="16838"/>
          <w:pgMar w:top="1531" w:right="1701" w:bottom="1531" w:left="1701" w:header="851" w:footer="851" w:gutter="0"/>
          <w:pgNumType w:fmt="decimal"/>
          <w:cols w:space="720" w:num="1"/>
          <w:docGrid w:linePitch="312" w:charSpace="0"/>
        </w:sectPr>
      </w:pPr>
      <w:r>
        <w:rPr>
          <w:rFonts w:hint="eastAsia" w:eastAsia="宋体"/>
          <w:lang w:eastAsia="zh-CN"/>
        </w:rPr>
        <w:drawing>
          <wp:inline distT="0" distB="0" distL="114300" distR="114300">
            <wp:extent cx="5300980" cy="8343900"/>
            <wp:effectExtent l="0" t="0" r="13970" b="0"/>
            <wp:docPr id="10" name="图片 10" descr="立项文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立项文件1"/>
                    <pic:cNvPicPr>
                      <a:picLocks noChangeAspect="1"/>
                    </pic:cNvPicPr>
                  </pic:nvPicPr>
                  <pic:blipFill>
                    <a:blip r:embed="rId26"/>
                    <a:srcRect t="2993" r="63" b="24343"/>
                    <a:stretch>
                      <a:fillRect/>
                    </a:stretch>
                  </pic:blipFill>
                  <pic:spPr>
                    <a:xfrm>
                      <a:off x="0" y="0"/>
                      <a:ext cx="5300980" cy="8343900"/>
                    </a:xfrm>
                    <a:prstGeom prst="rect">
                      <a:avLst/>
                    </a:prstGeom>
                  </pic:spPr>
                </pic:pic>
              </a:graphicData>
            </a:graphic>
          </wp:inline>
        </w:drawing>
      </w:r>
      <w:r>
        <w:rPr>
          <w:rFonts w:hint="eastAsia" w:eastAsia="宋体"/>
          <w:lang w:eastAsia="zh-CN"/>
        </w:rPr>
        <w:drawing>
          <wp:inline distT="0" distB="0" distL="114300" distR="114300">
            <wp:extent cx="5356225" cy="8720455"/>
            <wp:effectExtent l="0" t="0" r="15875" b="4445"/>
            <wp:docPr id="11" name="图片 11" descr="立项文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立项文件2"/>
                    <pic:cNvPicPr>
                      <a:picLocks noChangeAspect="1"/>
                    </pic:cNvPicPr>
                  </pic:nvPicPr>
                  <pic:blipFill>
                    <a:blip r:embed="rId27"/>
                    <a:srcRect t="6400" r="16" b="18415"/>
                    <a:stretch>
                      <a:fillRect/>
                    </a:stretch>
                  </pic:blipFill>
                  <pic:spPr>
                    <a:xfrm>
                      <a:off x="0" y="0"/>
                      <a:ext cx="5356225" cy="8720455"/>
                    </a:xfrm>
                    <a:prstGeom prst="rect">
                      <a:avLst/>
                    </a:prstGeom>
                  </pic:spPr>
                </pic:pic>
              </a:graphicData>
            </a:graphic>
          </wp:inline>
        </w:drawing>
      </w:r>
    </w:p>
    <w:p>
      <w:pPr>
        <w:bidi w:val="0"/>
        <w:outlineLvl w:val="0"/>
        <w:rPr>
          <w:b/>
          <w:bCs/>
          <w:sz w:val="30"/>
          <w:szCs w:val="30"/>
          <w:highlight w:val="none"/>
        </w:rPr>
      </w:pPr>
      <w:r>
        <w:rPr>
          <w:b/>
          <w:bCs/>
          <w:sz w:val="30"/>
          <w:szCs w:val="30"/>
          <w:highlight w:val="none"/>
        </w:rPr>
        <w:t>附件</w:t>
      </w:r>
      <w:r>
        <w:rPr>
          <w:rFonts w:hint="eastAsia"/>
          <w:b/>
          <w:bCs/>
          <w:sz w:val="30"/>
          <w:szCs w:val="30"/>
          <w:highlight w:val="none"/>
          <w:lang w:val="en-US" w:eastAsia="zh-CN"/>
        </w:rPr>
        <w:t>3</w:t>
      </w:r>
      <w:r>
        <w:rPr>
          <w:b/>
          <w:bCs/>
          <w:sz w:val="30"/>
          <w:szCs w:val="30"/>
          <w:highlight w:val="none"/>
        </w:rPr>
        <w:t xml:space="preserve"> 监测报告</w:t>
      </w:r>
    </w:p>
    <w:p>
      <w:pPr>
        <w:pStyle w:val="7"/>
        <w:ind w:left="0" w:leftChars="0" w:firstLine="0" w:firstLineChars="0"/>
        <w:jc w:val="center"/>
        <w:rPr>
          <w:rFonts w:hint="eastAsia" w:eastAsia="楷体_GB2312"/>
          <w:lang w:eastAsia="zh-CN"/>
        </w:rPr>
        <w:sectPr>
          <w:pgSz w:w="11906" w:h="16838"/>
          <w:pgMar w:top="1531" w:right="1701" w:bottom="1531" w:left="1701" w:header="851" w:footer="851" w:gutter="0"/>
          <w:pgNumType w:fmt="decimal"/>
          <w:cols w:space="720" w:num="1"/>
          <w:docGrid w:linePitch="312" w:charSpace="0"/>
        </w:sectPr>
      </w:pPr>
      <w:r>
        <w:rPr>
          <w:rFonts w:hint="eastAsia" w:eastAsia="楷体_GB2312"/>
          <w:lang w:eastAsia="zh-CN"/>
        </w:rPr>
        <w:drawing>
          <wp:inline distT="0" distB="0" distL="114300" distR="114300">
            <wp:extent cx="5399405" cy="7638415"/>
            <wp:effectExtent l="0" t="0" r="10795" b="635"/>
            <wp:docPr id="16" name="图片 16" descr="HIBC-1五原县银定图镇丰乐村蒙仓商贸农产品加工园区建设项目扫描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IBC-1五原县银定图镇丰乐村蒙仓商贸农产品加工园区建设项目扫描件_00"/>
                    <pic:cNvPicPr>
                      <a:picLocks noChangeAspect="1"/>
                    </pic:cNvPicPr>
                  </pic:nvPicPr>
                  <pic:blipFill>
                    <a:blip r:embed="rId28"/>
                    <a:stretch>
                      <a:fillRect/>
                    </a:stretch>
                  </pic:blipFill>
                  <pic:spPr>
                    <a:xfrm>
                      <a:off x="0" y="0"/>
                      <a:ext cx="5399405" cy="7638415"/>
                    </a:xfrm>
                    <a:prstGeom prst="rect">
                      <a:avLst/>
                    </a:prstGeom>
                  </pic:spPr>
                </pic:pic>
              </a:graphicData>
            </a:graphic>
          </wp:inline>
        </w:drawing>
      </w:r>
      <w:r>
        <w:rPr>
          <w:rFonts w:hint="eastAsia" w:eastAsia="楷体_GB2312"/>
          <w:lang w:eastAsia="zh-CN"/>
        </w:rPr>
        <w:drawing>
          <wp:inline distT="0" distB="0" distL="114300" distR="114300">
            <wp:extent cx="5399405" cy="7638415"/>
            <wp:effectExtent l="0" t="0" r="10795" b="635"/>
            <wp:docPr id="15" name="图片 15" descr="HIBC-1五原县银定图镇丰乐村蒙仓商贸农产品加工园区建设项目扫描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IBC-1五原县银定图镇丰乐村蒙仓商贸农产品加工园区建设项目扫描件_01"/>
                    <pic:cNvPicPr>
                      <a:picLocks noChangeAspect="1"/>
                    </pic:cNvPicPr>
                  </pic:nvPicPr>
                  <pic:blipFill>
                    <a:blip r:embed="rId29"/>
                    <a:stretch>
                      <a:fillRect/>
                    </a:stretch>
                  </pic:blipFill>
                  <pic:spPr>
                    <a:xfrm>
                      <a:off x="0" y="0"/>
                      <a:ext cx="5399405" cy="7638415"/>
                    </a:xfrm>
                    <a:prstGeom prst="rect">
                      <a:avLst/>
                    </a:prstGeom>
                  </pic:spPr>
                </pic:pic>
              </a:graphicData>
            </a:graphic>
          </wp:inline>
        </w:drawing>
      </w:r>
      <w:r>
        <w:rPr>
          <w:rFonts w:hint="eastAsia" w:eastAsia="楷体_GB2312"/>
          <w:lang w:eastAsia="zh-CN"/>
        </w:rPr>
        <w:drawing>
          <wp:inline distT="0" distB="0" distL="114300" distR="114300">
            <wp:extent cx="5399405" cy="7638415"/>
            <wp:effectExtent l="0" t="0" r="10795" b="635"/>
            <wp:docPr id="14" name="图片 14" descr="HIBC-1五原县银定图镇丰乐村蒙仓商贸农产品加工园区建设项目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HIBC-1五原县银定图镇丰乐村蒙仓商贸农产品加工园区建设项目扫描件_02"/>
                    <pic:cNvPicPr>
                      <a:picLocks noChangeAspect="1"/>
                    </pic:cNvPicPr>
                  </pic:nvPicPr>
                  <pic:blipFill>
                    <a:blip r:embed="rId30"/>
                    <a:stretch>
                      <a:fillRect/>
                    </a:stretch>
                  </pic:blipFill>
                  <pic:spPr>
                    <a:xfrm>
                      <a:off x="0" y="0"/>
                      <a:ext cx="5399405" cy="7638415"/>
                    </a:xfrm>
                    <a:prstGeom prst="rect">
                      <a:avLst/>
                    </a:prstGeom>
                  </pic:spPr>
                </pic:pic>
              </a:graphicData>
            </a:graphic>
          </wp:inline>
        </w:drawing>
      </w:r>
      <w:r>
        <w:rPr>
          <w:rFonts w:hint="eastAsia" w:eastAsia="楷体_GB2312"/>
          <w:lang w:eastAsia="zh-CN"/>
        </w:rPr>
        <w:drawing>
          <wp:inline distT="0" distB="0" distL="114300" distR="114300">
            <wp:extent cx="5399405" cy="7638415"/>
            <wp:effectExtent l="0" t="0" r="10795" b="635"/>
            <wp:docPr id="13" name="图片 13" descr="HIBC-1五原县银定图镇丰乐村蒙仓商贸农产品加工园区建设项目扫描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HIBC-1五原县银定图镇丰乐村蒙仓商贸农产品加工园区建设项目扫描件_03"/>
                    <pic:cNvPicPr>
                      <a:picLocks noChangeAspect="1"/>
                    </pic:cNvPicPr>
                  </pic:nvPicPr>
                  <pic:blipFill>
                    <a:blip r:embed="rId31"/>
                    <a:stretch>
                      <a:fillRect/>
                    </a:stretch>
                  </pic:blipFill>
                  <pic:spPr>
                    <a:xfrm>
                      <a:off x="0" y="0"/>
                      <a:ext cx="5399405" cy="7638415"/>
                    </a:xfrm>
                    <a:prstGeom prst="rect">
                      <a:avLst/>
                    </a:prstGeom>
                  </pic:spPr>
                </pic:pic>
              </a:graphicData>
            </a:graphic>
          </wp:inline>
        </w:drawing>
      </w:r>
      <w:r>
        <w:rPr>
          <w:rFonts w:hint="eastAsia" w:eastAsia="楷体_GB2312"/>
          <w:lang w:eastAsia="zh-CN"/>
        </w:rPr>
        <w:drawing>
          <wp:inline distT="0" distB="0" distL="114300" distR="114300">
            <wp:extent cx="5399405" cy="7638415"/>
            <wp:effectExtent l="0" t="0" r="10795" b="635"/>
            <wp:docPr id="9" name="图片 9" descr="HIBC-1五原县银定图镇丰乐村蒙仓商贸农产品加工园区建设项目扫描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HIBC-1五原县银定图镇丰乐村蒙仓商贸农产品加工园区建设项目扫描件_04"/>
                    <pic:cNvPicPr>
                      <a:picLocks noChangeAspect="1"/>
                    </pic:cNvPicPr>
                  </pic:nvPicPr>
                  <pic:blipFill>
                    <a:blip r:embed="rId32"/>
                    <a:stretch>
                      <a:fillRect/>
                    </a:stretch>
                  </pic:blipFill>
                  <pic:spPr>
                    <a:xfrm>
                      <a:off x="0" y="0"/>
                      <a:ext cx="5399405" cy="7638415"/>
                    </a:xfrm>
                    <a:prstGeom prst="rect">
                      <a:avLst/>
                    </a:prstGeom>
                  </pic:spPr>
                </pic:pic>
              </a:graphicData>
            </a:graphic>
          </wp:inline>
        </w:drawing>
      </w:r>
    </w:p>
    <w:p>
      <w:pPr>
        <w:bidi w:val="0"/>
        <w:outlineLvl w:val="0"/>
        <w:rPr>
          <w:b/>
          <w:bCs/>
          <w:color w:val="FF0000"/>
          <w:sz w:val="30"/>
          <w:szCs w:val="30"/>
          <w:highlight w:val="none"/>
        </w:rPr>
      </w:pPr>
      <w:r>
        <w:rPr>
          <w:b/>
          <w:bCs/>
          <w:color w:val="FF0000"/>
          <w:sz w:val="30"/>
          <w:szCs w:val="30"/>
          <w:highlight w:val="none"/>
        </w:rPr>
        <w:t>附件</w:t>
      </w:r>
      <w:r>
        <w:rPr>
          <w:rFonts w:hint="eastAsia"/>
          <w:b/>
          <w:bCs/>
          <w:color w:val="FF0000"/>
          <w:sz w:val="30"/>
          <w:szCs w:val="30"/>
          <w:highlight w:val="none"/>
          <w:lang w:val="en-US" w:eastAsia="zh-CN"/>
        </w:rPr>
        <w:t>4</w:t>
      </w:r>
      <w:r>
        <w:rPr>
          <w:b/>
          <w:bCs/>
          <w:color w:val="FF0000"/>
          <w:sz w:val="30"/>
          <w:szCs w:val="30"/>
          <w:highlight w:val="none"/>
        </w:rPr>
        <w:t xml:space="preserve"> </w:t>
      </w:r>
      <w:r>
        <w:rPr>
          <w:rFonts w:hint="eastAsia"/>
          <w:b/>
          <w:bCs/>
          <w:color w:val="FF0000"/>
          <w:sz w:val="30"/>
          <w:szCs w:val="30"/>
          <w:highlight w:val="none"/>
          <w:lang w:val="en-US" w:eastAsia="zh-CN"/>
        </w:rPr>
        <w:t>生物质燃料检</w:t>
      </w:r>
      <w:r>
        <w:rPr>
          <w:b/>
          <w:bCs/>
          <w:color w:val="FF0000"/>
          <w:sz w:val="30"/>
          <w:szCs w:val="30"/>
          <w:highlight w:val="none"/>
        </w:rPr>
        <w:t>测报告</w:t>
      </w:r>
    </w:p>
    <w:p>
      <w:pPr>
        <w:jc w:val="center"/>
        <w:rPr>
          <w:rFonts w:hint="eastAsia"/>
          <w:lang w:eastAsia="zh-CN"/>
        </w:rPr>
        <w:sectPr>
          <w:pgSz w:w="16838" w:h="11906" w:orient="landscape"/>
          <w:pgMar w:top="1701" w:right="1531" w:bottom="1701" w:left="1531" w:header="851" w:footer="851" w:gutter="0"/>
          <w:pgNumType w:fmt="decimal"/>
          <w:cols w:space="720" w:num="1"/>
          <w:docGrid w:linePitch="312" w:charSpace="0"/>
        </w:sectPr>
      </w:pPr>
      <w:r>
        <w:rPr>
          <w:rFonts w:hint="eastAsia"/>
          <w:lang w:eastAsia="zh-CN"/>
        </w:rPr>
        <w:drawing>
          <wp:inline distT="0" distB="0" distL="114300" distR="114300">
            <wp:extent cx="8583930" cy="5010150"/>
            <wp:effectExtent l="0" t="0" r="7620" b="0"/>
            <wp:docPr id="17" name="图片 17" descr="生物质燃料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生物质燃料_00"/>
                    <pic:cNvPicPr>
                      <a:picLocks noChangeAspect="1"/>
                    </pic:cNvPicPr>
                  </pic:nvPicPr>
                  <pic:blipFill>
                    <a:blip r:embed="rId33"/>
                    <a:srcRect r="1013" b="18102"/>
                    <a:stretch>
                      <a:fillRect/>
                    </a:stretch>
                  </pic:blipFill>
                  <pic:spPr>
                    <a:xfrm>
                      <a:off x="0" y="0"/>
                      <a:ext cx="8583930" cy="5010150"/>
                    </a:xfrm>
                    <a:prstGeom prst="rect">
                      <a:avLst/>
                    </a:prstGeom>
                  </pic:spPr>
                </pic:pic>
              </a:graphicData>
            </a:graphic>
          </wp:inline>
        </w:drawing>
      </w:r>
    </w:p>
    <w:p>
      <w:pPr>
        <w:pStyle w:val="2"/>
        <w:rPr>
          <w:rFonts w:hint="eastAsia"/>
          <w:b/>
          <w:bCs/>
          <w:color w:val="FF0000"/>
          <w:sz w:val="30"/>
          <w:szCs w:val="30"/>
          <w:highlight w:val="none"/>
          <w:lang w:val="en-US" w:eastAsia="zh-CN"/>
        </w:rPr>
      </w:pPr>
      <w:r>
        <w:rPr>
          <w:b/>
          <w:bCs/>
          <w:color w:val="FF0000"/>
          <w:sz w:val="30"/>
          <w:szCs w:val="30"/>
          <w:highlight w:val="none"/>
        </w:rPr>
        <w:t>附件</w:t>
      </w:r>
      <w:r>
        <w:rPr>
          <w:rFonts w:hint="eastAsia"/>
          <w:b/>
          <w:bCs/>
          <w:color w:val="FF0000"/>
          <w:sz w:val="30"/>
          <w:szCs w:val="30"/>
          <w:highlight w:val="none"/>
          <w:lang w:val="en-US" w:eastAsia="zh-CN"/>
        </w:rPr>
        <w:t>5</w:t>
      </w:r>
      <w:r>
        <w:rPr>
          <w:b/>
          <w:bCs/>
          <w:color w:val="FF0000"/>
          <w:sz w:val="30"/>
          <w:szCs w:val="30"/>
          <w:highlight w:val="none"/>
        </w:rPr>
        <w:t xml:space="preserve"> </w:t>
      </w:r>
      <w:r>
        <w:rPr>
          <w:rFonts w:hint="eastAsia"/>
          <w:b/>
          <w:bCs/>
          <w:color w:val="FF0000"/>
          <w:sz w:val="30"/>
          <w:szCs w:val="30"/>
          <w:highlight w:val="none"/>
          <w:lang w:val="en-US" w:eastAsia="zh-CN"/>
        </w:rPr>
        <w:t>污水处理协议</w:t>
      </w:r>
    </w:p>
    <w:p>
      <w:pPr>
        <w:jc w:val="center"/>
        <w:rPr>
          <w:rFonts w:hint="eastAsia"/>
          <w:lang w:eastAsia="zh-CN"/>
        </w:rPr>
      </w:pPr>
      <w:r>
        <w:rPr>
          <w:rFonts w:hint="eastAsia"/>
          <w:lang w:eastAsia="zh-CN"/>
        </w:rPr>
        <w:drawing>
          <wp:inline distT="0" distB="0" distL="114300" distR="114300">
            <wp:extent cx="5326380" cy="7069455"/>
            <wp:effectExtent l="0" t="0" r="7620" b="17145"/>
            <wp:docPr id="6" name="图片 6" descr="污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污水"/>
                    <pic:cNvPicPr>
                      <a:picLocks noChangeAspect="1"/>
                    </pic:cNvPicPr>
                  </pic:nvPicPr>
                  <pic:blipFill>
                    <a:blip r:embed="rId34"/>
                    <a:srcRect l="2590" t="3032" r="2473" b="7854"/>
                    <a:stretch>
                      <a:fillRect/>
                    </a:stretch>
                  </pic:blipFill>
                  <pic:spPr>
                    <a:xfrm>
                      <a:off x="0" y="0"/>
                      <a:ext cx="5326380" cy="7069455"/>
                    </a:xfrm>
                    <a:prstGeom prst="rect">
                      <a:avLst/>
                    </a:prstGeom>
                  </pic:spPr>
                </pic:pic>
              </a:graphicData>
            </a:graphic>
          </wp:inline>
        </w:drawing>
      </w:r>
    </w:p>
    <w:sectPr>
      <w:pgSz w:w="11906" w:h="16838"/>
      <w:pgMar w:top="1531" w:right="1701" w:bottom="1531" w:left="1701" w:header="851" w:footer="851" w:gutter="0"/>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B3D0892-734D-4690-A1DF-D312C8D39101}"/>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embedRegular r:id="rId2" w:fontKey="{0E96DFD6-2C8D-4803-A38E-1599B6F4EDEE}"/>
  </w:font>
  <w:font w:name="仿宋">
    <w:panose1 w:val="02010609060101010101"/>
    <w:charset w:val="86"/>
    <w:family w:val="auto"/>
    <w:pitch w:val="default"/>
    <w:sig w:usb0="800002BF" w:usb1="38CF7CFA" w:usb2="00000016" w:usb3="00000000" w:csb0="00040001" w:csb1="00000000"/>
    <w:embedRegular r:id="rId3" w:fontKey="{E180A63D-2673-4E31-9F0C-7AC8F000B6AE}"/>
  </w:font>
  <w:font w:name="仿宋_GB2312">
    <w:altName w:val="仿宋"/>
    <w:panose1 w:val="02010609030101010101"/>
    <w:charset w:val="86"/>
    <w:family w:val="modern"/>
    <w:pitch w:val="default"/>
    <w:sig w:usb0="00000000" w:usb1="00000000" w:usb2="00000010" w:usb3="00000000" w:csb0="00040000" w:csb1="00000000"/>
    <w:embedRegular r:id="rId4" w:fontKey="{2C5AD111-0A3D-4EFD-B2CE-8C8F3D46844D}"/>
  </w:font>
  <w:font w:name="方正小标宋_GBK">
    <w:panose1 w:val="02000000000000000000"/>
    <w:charset w:val="86"/>
    <w:family w:val="script"/>
    <w:pitch w:val="default"/>
    <w:sig w:usb0="A00002BF" w:usb1="38CF7CFA" w:usb2="00082016" w:usb3="00000000" w:csb0="00040001" w:csb1="00000000"/>
    <w:embedRegular r:id="rId5" w:fontKey="{0DD5C42A-7991-42A2-8266-B23B3A4E347E}"/>
  </w:font>
  <w:font w:name="华文仿宋">
    <w:panose1 w:val="02010600040101010101"/>
    <w:charset w:val="86"/>
    <w:family w:val="auto"/>
    <w:pitch w:val="default"/>
    <w:sig w:usb0="00000287" w:usb1="080F0000" w:usb2="00000000" w:usb3="00000000" w:csb0="0004009F" w:csb1="DFD70000"/>
    <w:embedRegular r:id="rId6" w:fontKey="{1DDE5442-7A36-47B7-A846-A6FDF476B37F}"/>
  </w:font>
  <w:font w:name="Wingdings 2">
    <w:panose1 w:val="05020102010507070707"/>
    <w:charset w:val="02"/>
    <w:family w:val="roman"/>
    <w:pitch w:val="default"/>
    <w:sig w:usb0="00000000" w:usb1="00000000" w:usb2="00000000" w:usb3="00000000" w:csb0="80000000" w:csb1="00000000"/>
    <w:embedRegular r:id="rId7" w:fontKey="{3CD52CF1-7CC3-4143-8BB1-BC2D1F85329E}"/>
  </w:font>
  <w:font w:name="微软雅黑">
    <w:panose1 w:val="020B0503020204020204"/>
    <w:charset w:val="86"/>
    <w:family w:val="auto"/>
    <w:pitch w:val="default"/>
    <w:sig w:usb0="80000287" w:usb1="2ACF3C50" w:usb2="00000016" w:usb3="00000000" w:csb0="0004001F" w:csb1="00000000"/>
    <w:embedRegular r:id="rId8" w:fontKey="{C8FF1E77-AE1A-4A4A-B7B5-8BE92C63D398}"/>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7"/>
      </w:rPr>
    </w:pPr>
    <w:r>
      <w:fldChar w:fldCharType="begin"/>
    </w:r>
    <w:r>
      <w:rPr>
        <w:rStyle w:val="27"/>
      </w:rPr>
      <w:instrText xml:space="preserve">PAGE  </w:instrTex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26</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8A5901"/>
    <w:multiLevelType w:val="singleLevel"/>
    <w:tmpl w:val="998A5901"/>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I0NGRlMTFmZDYzMzQxYWIyNmQyNzNmOGQ0NDUxMmUifQ=="/>
  </w:docVars>
  <w:rsids>
    <w:rsidRoot w:val="00172A27"/>
    <w:rsid w:val="000060B3"/>
    <w:rsid w:val="0004364B"/>
    <w:rsid w:val="00043B79"/>
    <w:rsid w:val="000617AF"/>
    <w:rsid w:val="00061B1F"/>
    <w:rsid w:val="000733C4"/>
    <w:rsid w:val="00074783"/>
    <w:rsid w:val="0008070B"/>
    <w:rsid w:val="000810AC"/>
    <w:rsid w:val="00081A02"/>
    <w:rsid w:val="00081BCB"/>
    <w:rsid w:val="00082231"/>
    <w:rsid w:val="00092D38"/>
    <w:rsid w:val="0009377B"/>
    <w:rsid w:val="000A20C9"/>
    <w:rsid w:val="000B058F"/>
    <w:rsid w:val="000B4467"/>
    <w:rsid w:val="000B4DB9"/>
    <w:rsid w:val="000C09AC"/>
    <w:rsid w:val="000C767F"/>
    <w:rsid w:val="000D43E6"/>
    <w:rsid w:val="000D5A44"/>
    <w:rsid w:val="000E3ED2"/>
    <w:rsid w:val="000F1E95"/>
    <w:rsid w:val="00131F42"/>
    <w:rsid w:val="001357F1"/>
    <w:rsid w:val="00140FA8"/>
    <w:rsid w:val="00142FEB"/>
    <w:rsid w:val="00143A2D"/>
    <w:rsid w:val="00145A41"/>
    <w:rsid w:val="00151675"/>
    <w:rsid w:val="00157435"/>
    <w:rsid w:val="0017504D"/>
    <w:rsid w:val="0017671A"/>
    <w:rsid w:val="00177422"/>
    <w:rsid w:val="00184590"/>
    <w:rsid w:val="00185639"/>
    <w:rsid w:val="001870D1"/>
    <w:rsid w:val="0018781E"/>
    <w:rsid w:val="0019262D"/>
    <w:rsid w:val="001A1B35"/>
    <w:rsid w:val="001A48A2"/>
    <w:rsid w:val="001A6F61"/>
    <w:rsid w:val="001B72B8"/>
    <w:rsid w:val="001C69B3"/>
    <w:rsid w:val="001D5595"/>
    <w:rsid w:val="001D7874"/>
    <w:rsid w:val="001D7F22"/>
    <w:rsid w:val="001F0F17"/>
    <w:rsid w:val="001F3347"/>
    <w:rsid w:val="001F42EC"/>
    <w:rsid w:val="001F69E4"/>
    <w:rsid w:val="002125B4"/>
    <w:rsid w:val="002155B8"/>
    <w:rsid w:val="00224380"/>
    <w:rsid w:val="00224839"/>
    <w:rsid w:val="002249B2"/>
    <w:rsid w:val="00226574"/>
    <w:rsid w:val="002278EC"/>
    <w:rsid w:val="0023280E"/>
    <w:rsid w:val="002377D1"/>
    <w:rsid w:val="00237E36"/>
    <w:rsid w:val="002506BC"/>
    <w:rsid w:val="002513D5"/>
    <w:rsid w:val="00254345"/>
    <w:rsid w:val="00264557"/>
    <w:rsid w:val="00277F2B"/>
    <w:rsid w:val="002805AB"/>
    <w:rsid w:val="00284204"/>
    <w:rsid w:val="00291773"/>
    <w:rsid w:val="002A168C"/>
    <w:rsid w:val="002A3DC7"/>
    <w:rsid w:val="002B49E2"/>
    <w:rsid w:val="002B7B00"/>
    <w:rsid w:val="002B7C44"/>
    <w:rsid w:val="002C2B17"/>
    <w:rsid w:val="002D3DD0"/>
    <w:rsid w:val="002D67B5"/>
    <w:rsid w:val="002E1F3A"/>
    <w:rsid w:val="002E298A"/>
    <w:rsid w:val="00301978"/>
    <w:rsid w:val="0030332C"/>
    <w:rsid w:val="00303CA1"/>
    <w:rsid w:val="003051C2"/>
    <w:rsid w:val="00312296"/>
    <w:rsid w:val="00314F0E"/>
    <w:rsid w:val="00321D8E"/>
    <w:rsid w:val="003238C3"/>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973F2"/>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2B6E"/>
    <w:rsid w:val="00433CE7"/>
    <w:rsid w:val="004466BE"/>
    <w:rsid w:val="00452738"/>
    <w:rsid w:val="00456091"/>
    <w:rsid w:val="00466321"/>
    <w:rsid w:val="00467941"/>
    <w:rsid w:val="00484B9B"/>
    <w:rsid w:val="004855F6"/>
    <w:rsid w:val="0048661E"/>
    <w:rsid w:val="00494670"/>
    <w:rsid w:val="004A3823"/>
    <w:rsid w:val="004E4A39"/>
    <w:rsid w:val="004E6946"/>
    <w:rsid w:val="004E7B55"/>
    <w:rsid w:val="004F1AD8"/>
    <w:rsid w:val="004F3945"/>
    <w:rsid w:val="005039CB"/>
    <w:rsid w:val="0050558F"/>
    <w:rsid w:val="00506286"/>
    <w:rsid w:val="00510813"/>
    <w:rsid w:val="00511990"/>
    <w:rsid w:val="00511DE0"/>
    <w:rsid w:val="00512620"/>
    <w:rsid w:val="00514870"/>
    <w:rsid w:val="00514B9B"/>
    <w:rsid w:val="00517F02"/>
    <w:rsid w:val="00524303"/>
    <w:rsid w:val="005258A2"/>
    <w:rsid w:val="005360A3"/>
    <w:rsid w:val="005401AE"/>
    <w:rsid w:val="00542E07"/>
    <w:rsid w:val="00545424"/>
    <w:rsid w:val="00554A7B"/>
    <w:rsid w:val="0055572C"/>
    <w:rsid w:val="005600C9"/>
    <w:rsid w:val="0056106A"/>
    <w:rsid w:val="00566FCA"/>
    <w:rsid w:val="005720AE"/>
    <w:rsid w:val="00594D77"/>
    <w:rsid w:val="005969E4"/>
    <w:rsid w:val="005A06B7"/>
    <w:rsid w:val="005A1759"/>
    <w:rsid w:val="005A68A7"/>
    <w:rsid w:val="005D36AB"/>
    <w:rsid w:val="00617CC3"/>
    <w:rsid w:val="006377A6"/>
    <w:rsid w:val="00637A3D"/>
    <w:rsid w:val="006411EF"/>
    <w:rsid w:val="006748B8"/>
    <w:rsid w:val="006775C3"/>
    <w:rsid w:val="00685268"/>
    <w:rsid w:val="0069290A"/>
    <w:rsid w:val="0069775A"/>
    <w:rsid w:val="00697813"/>
    <w:rsid w:val="006A3EE8"/>
    <w:rsid w:val="006A72BF"/>
    <w:rsid w:val="006B03F2"/>
    <w:rsid w:val="006B37DC"/>
    <w:rsid w:val="006B4F68"/>
    <w:rsid w:val="006C0592"/>
    <w:rsid w:val="006C272E"/>
    <w:rsid w:val="006C5479"/>
    <w:rsid w:val="006C66E4"/>
    <w:rsid w:val="006D13B5"/>
    <w:rsid w:val="006E12FF"/>
    <w:rsid w:val="006E482F"/>
    <w:rsid w:val="006E607E"/>
    <w:rsid w:val="00706C5D"/>
    <w:rsid w:val="00732922"/>
    <w:rsid w:val="007364C6"/>
    <w:rsid w:val="00741C5B"/>
    <w:rsid w:val="00744E3E"/>
    <w:rsid w:val="0075162E"/>
    <w:rsid w:val="00754034"/>
    <w:rsid w:val="00756556"/>
    <w:rsid w:val="007618C4"/>
    <w:rsid w:val="00767980"/>
    <w:rsid w:val="00770B19"/>
    <w:rsid w:val="00772B0C"/>
    <w:rsid w:val="0077463F"/>
    <w:rsid w:val="007836EA"/>
    <w:rsid w:val="00784CDA"/>
    <w:rsid w:val="007906C4"/>
    <w:rsid w:val="007940EA"/>
    <w:rsid w:val="007967E8"/>
    <w:rsid w:val="007A2170"/>
    <w:rsid w:val="007A22BF"/>
    <w:rsid w:val="007A3323"/>
    <w:rsid w:val="007B72B8"/>
    <w:rsid w:val="007B7A58"/>
    <w:rsid w:val="007C21B5"/>
    <w:rsid w:val="007E4BD2"/>
    <w:rsid w:val="007E5B1E"/>
    <w:rsid w:val="007F13A3"/>
    <w:rsid w:val="00801393"/>
    <w:rsid w:val="00802F88"/>
    <w:rsid w:val="0081293E"/>
    <w:rsid w:val="00815465"/>
    <w:rsid w:val="00817E9A"/>
    <w:rsid w:val="00822D78"/>
    <w:rsid w:val="008306BD"/>
    <w:rsid w:val="00831A80"/>
    <w:rsid w:val="00833743"/>
    <w:rsid w:val="008340A4"/>
    <w:rsid w:val="00853278"/>
    <w:rsid w:val="0087135F"/>
    <w:rsid w:val="00872D94"/>
    <w:rsid w:val="00880364"/>
    <w:rsid w:val="00891592"/>
    <w:rsid w:val="00891E9E"/>
    <w:rsid w:val="008A2F68"/>
    <w:rsid w:val="008B4FA6"/>
    <w:rsid w:val="008B5282"/>
    <w:rsid w:val="008B7C17"/>
    <w:rsid w:val="008C2D01"/>
    <w:rsid w:val="008C40E6"/>
    <w:rsid w:val="008D0F7A"/>
    <w:rsid w:val="008D4556"/>
    <w:rsid w:val="008D68E4"/>
    <w:rsid w:val="008E0506"/>
    <w:rsid w:val="008E0CFF"/>
    <w:rsid w:val="008E5D6B"/>
    <w:rsid w:val="008E76F0"/>
    <w:rsid w:val="008F15FE"/>
    <w:rsid w:val="008F2D29"/>
    <w:rsid w:val="008F415A"/>
    <w:rsid w:val="008F5187"/>
    <w:rsid w:val="008F60D8"/>
    <w:rsid w:val="00902727"/>
    <w:rsid w:val="0090312B"/>
    <w:rsid w:val="00911B61"/>
    <w:rsid w:val="0091736D"/>
    <w:rsid w:val="00922485"/>
    <w:rsid w:val="0093037A"/>
    <w:rsid w:val="0094154D"/>
    <w:rsid w:val="0095155F"/>
    <w:rsid w:val="00954429"/>
    <w:rsid w:val="009563CE"/>
    <w:rsid w:val="0097262B"/>
    <w:rsid w:val="00972B23"/>
    <w:rsid w:val="00976328"/>
    <w:rsid w:val="0097680D"/>
    <w:rsid w:val="00981054"/>
    <w:rsid w:val="00982438"/>
    <w:rsid w:val="009833EF"/>
    <w:rsid w:val="0098404C"/>
    <w:rsid w:val="00985283"/>
    <w:rsid w:val="00995992"/>
    <w:rsid w:val="00996577"/>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37DB2"/>
    <w:rsid w:val="00A423AA"/>
    <w:rsid w:val="00A53489"/>
    <w:rsid w:val="00A53EC6"/>
    <w:rsid w:val="00A55C0F"/>
    <w:rsid w:val="00A64F07"/>
    <w:rsid w:val="00A8713F"/>
    <w:rsid w:val="00A90BA1"/>
    <w:rsid w:val="00A95653"/>
    <w:rsid w:val="00A97A9A"/>
    <w:rsid w:val="00AA0671"/>
    <w:rsid w:val="00AA2531"/>
    <w:rsid w:val="00AB1E09"/>
    <w:rsid w:val="00AB5330"/>
    <w:rsid w:val="00AB7747"/>
    <w:rsid w:val="00AC14CE"/>
    <w:rsid w:val="00AC2A56"/>
    <w:rsid w:val="00AC7EBA"/>
    <w:rsid w:val="00AD055E"/>
    <w:rsid w:val="00AD47A7"/>
    <w:rsid w:val="00AF0CBF"/>
    <w:rsid w:val="00AF257F"/>
    <w:rsid w:val="00AF33CF"/>
    <w:rsid w:val="00AF4D50"/>
    <w:rsid w:val="00AF6179"/>
    <w:rsid w:val="00B04EC3"/>
    <w:rsid w:val="00B07649"/>
    <w:rsid w:val="00B1295A"/>
    <w:rsid w:val="00B20A45"/>
    <w:rsid w:val="00B22C5C"/>
    <w:rsid w:val="00B24F30"/>
    <w:rsid w:val="00B31ABF"/>
    <w:rsid w:val="00B33BE3"/>
    <w:rsid w:val="00B53B5D"/>
    <w:rsid w:val="00B6055E"/>
    <w:rsid w:val="00B6317D"/>
    <w:rsid w:val="00B749EB"/>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0DDF"/>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4C89"/>
    <w:rsid w:val="00CA7EF8"/>
    <w:rsid w:val="00CC489B"/>
    <w:rsid w:val="00CD2BCD"/>
    <w:rsid w:val="00CD3A4C"/>
    <w:rsid w:val="00CE10E9"/>
    <w:rsid w:val="00CE2910"/>
    <w:rsid w:val="00CE5393"/>
    <w:rsid w:val="00CF36BE"/>
    <w:rsid w:val="00CF6000"/>
    <w:rsid w:val="00D003F3"/>
    <w:rsid w:val="00D0364F"/>
    <w:rsid w:val="00D06834"/>
    <w:rsid w:val="00D126E7"/>
    <w:rsid w:val="00D175D3"/>
    <w:rsid w:val="00D308ED"/>
    <w:rsid w:val="00D36D86"/>
    <w:rsid w:val="00D428AA"/>
    <w:rsid w:val="00D50A34"/>
    <w:rsid w:val="00D53EFA"/>
    <w:rsid w:val="00D94A7C"/>
    <w:rsid w:val="00D95896"/>
    <w:rsid w:val="00DB2983"/>
    <w:rsid w:val="00DC026C"/>
    <w:rsid w:val="00DC0C26"/>
    <w:rsid w:val="00DC1257"/>
    <w:rsid w:val="00DC3DC0"/>
    <w:rsid w:val="00DC5B2B"/>
    <w:rsid w:val="00DD318D"/>
    <w:rsid w:val="00DD3DE0"/>
    <w:rsid w:val="00DF2E12"/>
    <w:rsid w:val="00DF418E"/>
    <w:rsid w:val="00DF514A"/>
    <w:rsid w:val="00DF6690"/>
    <w:rsid w:val="00DF6804"/>
    <w:rsid w:val="00E003E6"/>
    <w:rsid w:val="00E0358D"/>
    <w:rsid w:val="00E04323"/>
    <w:rsid w:val="00E070A2"/>
    <w:rsid w:val="00E24BD6"/>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06703"/>
    <w:rsid w:val="00F119D1"/>
    <w:rsid w:val="00F14A7A"/>
    <w:rsid w:val="00F22985"/>
    <w:rsid w:val="00F3383E"/>
    <w:rsid w:val="00F465A7"/>
    <w:rsid w:val="00F4761C"/>
    <w:rsid w:val="00F50B7C"/>
    <w:rsid w:val="00F550E6"/>
    <w:rsid w:val="00F74345"/>
    <w:rsid w:val="00F80A0A"/>
    <w:rsid w:val="00F82B19"/>
    <w:rsid w:val="00F9212D"/>
    <w:rsid w:val="00F965DA"/>
    <w:rsid w:val="00FA406A"/>
    <w:rsid w:val="00FB0D3A"/>
    <w:rsid w:val="00FB503A"/>
    <w:rsid w:val="00FB516C"/>
    <w:rsid w:val="00FD0236"/>
    <w:rsid w:val="00FD18F4"/>
    <w:rsid w:val="00FD54DB"/>
    <w:rsid w:val="00FD619F"/>
    <w:rsid w:val="01075AA3"/>
    <w:rsid w:val="01290F7E"/>
    <w:rsid w:val="013B44CF"/>
    <w:rsid w:val="013E1986"/>
    <w:rsid w:val="0145772E"/>
    <w:rsid w:val="014859DF"/>
    <w:rsid w:val="015D1E09"/>
    <w:rsid w:val="018D0AC4"/>
    <w:rsid w:val="01D1208B"/>
    <w:rsid w:val="02335D2B"/>
    <w:rsid w:val="023E57C2"/>
    <w:rsid w:val="02514378"/>
    <w:rsid w:val="02611AE5"/>
    <w:rsid w:val="02697903"/>
    <w:rsid w:val="027F2E75"/>
    <w:rsid w:val="028701B1"/>
    <w:rsid w:val="02A10AF6"/>
    <w:rsid w:val="02A94E81"/>
    <w:rsid w:val="02B62696"/>
    <w:rsid w:val="02F96569"/>
    <w:rsid w:val="02FC37B7"/>
    <w:rsid w:val="02FF5E45"/>
    <w:rsid w:val="03CF30B3"/>
    <w:rsid w:val="03DF11A2"/>
    <w:rsid w:val="03E60DDB"/>
    <w:rsid w:val="03EA7B21"/>
    <w:rsid w:val="04106962"/>
    <w:rsid w:val="042553B4"/>
    <w:rsid w:val="04270AAC"/>
    <w:rsid w:val="042B5143"/>
    <w:rsid w:val="04560F73"/>
    <w:rsid w:val="048B4DA2"/>
    <w:rsid w:val="04FC397D"/>
    <w:rsid w:val="055D4DEE"/>
    <w:rsid w:val="05674395"/>
    <w:rsid w:val="05795E6E"/>
    <w:rsid w:val="05AE6EB7"/>
    <w:rsid w:val="05EE20F8"/>
    <w:rsid w:val="05F83EAE"/>
    <w:rsid w:val="063E7D85"/>
    <w:rsid w:val="06497E91"/>
    <w:rsid w:val="065618CB"/>
    <w:rsid w:val="065819C4"/>
    <w:rsid w:val="067428D5"/>
    <w:rsid w:val="06900087"/>
    <w:rsid w:val="06A97135"/>
    <w:rsid w:val="06EA7E2E"/>
    <w:rsid w:val="06F11056"/>
    <w:rsid w:val="06F950F4"/>
    <w:rsid w:val="071869DB"/>
    <w:rsid w:val="07293586"/>
    <w:rsid w:val="07295285"/>
    <w:rsid w:val="073545BD"/>
    <w:rsid w:val="07636392"/>
    <w:rsid w:val="07770C56"/>
    <w:rsid w:val="078E537E"/>
    <w:rsid w:val="07A91C90"/>
    <w:rsid w:val="07C04BF5"/>
    <w:rsid w:val="07D31BB7"/>
    <w:rsid w:val="08435968"/>
    <w:rsid w:val="08640B96"/>
    <w:rsid w:val="08711FA1"/>
    <w:rsid w:val="088B1F29"/>
    <w:rsid w:val="08AB59EF"/>
    <w:rsid w:val="08AF2EB0"/>
    <w:rsid w:val="08CD1B5D"/>
    <w:rsid w:val="08D11282"/>
    <w:rsid w:val="090B097E"/>
    <w:rsid w:val="092217DD"/>
    <w:rsid w:val="09353012"/>
    <w:rsid w:val="093A7294"/>
    <w:rsid w:val="094A6477"/>
    <w:rsid w:val="09776060"/>
    <w:rsid w:val="097B3E61"/>
    <w:rsid w:val="09882BAB"/>
    <w:rsid w:val="09A43464"/>
    <w:rsid w:val="09AD0B45"/>
    <w:rsid w:val="09B52B9C"/>
    <w:rsid w:val="0A241D3B"/>
    <w:rsid w:val="0A263993"/>
    <w:rsid w:val="0A2A08C7"/>
    <w:rsid w:val="0A2D3AC2"/>
    <w:rsid w:val="0A306C79"/>
    <w:rsid w:val="0A327EF2"/>
    <w:rsid w:val="0A542206"/>
    <w:rsid w:val="0A5E6B3C"/>
    <w:rsid w:val="0A6A044D"/>
    <w:rsid w:val="0A6A1749"/>
    <w:rsid w:val="0A997516"/>
    <w:rsid w:val="0AA755DF"/>
    <w:rsid w:val="0AD0409A"/>
    <w:rsid w:val="0B120D44"/>
    <w:rsid w:val="0B27477B"/>
    <w:rsid w:val="0BCC52CF"/>
    <w:rsid w:val="0BD27BF6"/>
    <w:rsid w:val="0C016321"/>
    <w:rsid w:val="0C2729AB"/>
    <w:rsid w:val="0C30187A"/>
    <w:rsid w:val="0C3B3C7D"/>
    <w:rsid w:val="0C4267B2"/>
    <w:rsid w:val="0C483C75"/>
    <w:rsid w:val="0C714102"/>
    <w:rsid w:val="0C80601D"/>
    <w:rsid w:val="0C864688"/>
    <w:rsid w:val="0CAB2EAE"/>
    <w:rsid w:val="0CCB6028"/>
    <w:rsid w:val="0D4F5FA4"/>
    <w:rsid w:val="0D621C7D"/>
    <w:rsid w:val="0D69687B"/>
    <w:rsid w:val="0D6D3550"/>
    <w:rsid w:val="0D726AB0"/>
    <w:rsid w:val="0D7F3A96"/>
    <w:rsid w:val="0D8C59C6"/>
    <w:rsid w:val="0DA20A44"/>
    <w:rsid w:val="0DC71DCC"/>
    <w:rsid w:val="0DCB340A"/>
    <w:rsid w:val="0DCD048B"/>
    <w:rsid w:val="0E1070F4"/>
    <w:rsid w:val="0E1A29F1"/>
    <w:rsid w:val="0E251B1F"/>
    <w:rsid w:val="0E3B06C5"/>
    <w:rsid w:val="0E6035F3"/>
    <w:rsid w:val="0E6610CF"/>
    <w:rsid w:val="0E73034D"/>
    <w:rsid w:val="0E95278C"/>
    <w:rsid w:val="0E982329"/>
    <w:rsid w:val="0ED7066F"/>
    <w:rsid w:val="0EDE6A99"/>
    <w:rsid w:val="0F066F7D"/>
    <w:rsid w:val="0F13775A"/>
    <w:rsid w:val="0F1814E7"/>
    <w:rsid w:val="0F53076B"/>
    <w:rsid w:val="0F582691"/>
    <w:rsid w:val="0F5F45FE"/>
    <w:rsid w:val="0F8D23BD"/>
    <w:rsid w:val="0F920FBD"/>
    <w:rsid w:val="0F9A112B"/>
    <w:rsid w:val="0FE670E3"/>
    <w:rsid w:val="0FF35D88"/>
    <w:rsid w:val="0FF61E93"/>
    <w:rsid w:val="10230BDE"/>
    <w:rsid w:val="104658C7"/>
    <w:rsid w:val="106D2F64"/>
    <w:rsid w:val="10B3176F"/>
    <w:rsid w:val="10B63710"/>
    <w:rsid w:val="10E12D2F"/>
    <w:rsid w:val="10F10820"/>
    <w:rsid w:val="10FC52A3"/>
    <w:rsid w:val="110C7693"/>
    <w:rsid w:val="11195904"/>
    <w:rsid w:val="111C2F7A"/>
    <w:rsid w:val="11665CA1"/>
    <w:rsid w:val="11922623"/>
    <w:rsid w:val="11A86847"/>
    <w:rsid w:val="11B030DE"/>
    <w:rsid w:val="12242358"/>
    <w:rsid w:val="12293D7F"/>
    <w:rsid w:val="124A3E3C"/>
    <w:rsid w:val="124C0C33"/>
    <w:rsid w:val="125B7C22"/>
    <w:rsid w:val="12816D16"/>
    <w:rsid w:val="129563E2"/>
    <w:rsid w:val="12BC7FF5"/>
    <w:rsid w:val="13015D3A"/>
    <w:rsid w:val="130775A4"/>
    <w:rsid w:val="131D044A"/>
    <w:rsid w:val="134A33F0"/>
    <w:rsid w:val="138E4637"/>
    <w:rsid w:val="13951726"/>
    <w:rsid w:val="13A60554"/>
    <w:rsid w:val="13C81B60"/>
    <w:rsid w:val="13D11BBC"/>
    <w:rsid w:val="13F173F5"/>
    <w:rsid w:val="141870E4"/>
    <w:rsid w:val="14396509"/>
    <w:rsid w:val="1442245E"/>
    <w:rsid w:val="146B1D60"/>
    <w:rsid w:val="14DD2C3C"/>
    <w:rsid w:val="15181E57"/>
    <w:rsid w:val="153F5484"/>
    <w:rsid w:val="1565782C"/>
    <w:rsid w:val="156852D6"/>
    <w:rsid w:val="15694ADD"/>
    <w:rsid w:val="15700884"/>
    <w:rsid w:val="159A5E08"/>
    <w:rsid w:val="15A84298"/>
    <w:rsid w:val="15C0564A"/>
    <w:rsid w:val="15C26E36"/>
    <w:rsid w:val="15C96E18"/>
    <w:rsid w:val="15E60FBE"/>
    <w:rsid w:val="15FD7E1C"/>
    <w:rsid w:val="16087E1D"/>
    <w:rsid w:val="1645241A"/>
    <w:rsid w:val="16494DE5"/>
    <w:rsid w:val="16530355"/>
    <w:rsid w:val="166D46BD"/>
    <w:rsid w:val="169D61EC"/>
    <w:rsid w:val="16BE7F55"/>
    <w:rsid w:val="16FC6C70"/>
    <w:rsid w:val="17242CEB"/>
    <w:rsid w:val="174009C6"/>
    <w:rsid w:val="175A7DFF"/>
    <w:rsid w:val="17701D14"/>
    <w:rsid w:val="17735226"/>
    <w:rsid w:val="17824DE3"/>
    <w:rsid w:val="17B57F74"/>
    <w:rsid w:val="17CA29CA"/>
    <w:rsid w:val="17E94C0C"/>
    <w:rsid w:val="180A27D7"/>
    <w:rsid w:val="180B2EEF"/>
    <w:rsid w:val="18304142"/>
    <w:rsid w:val="183524E8"/>
    <w:rsid w:val="18365B36"/>
    <w:rsid w:val="18527666"/>
    <w:rsid w:val="18704DF6"/>
    <w:rsid w:val="189F624C"/>
    <w:rsid w:val="18B608FD"/>
    <w:rsid w:val="18B8729F"/>
    <w:rsid w:val="18F06DC7"/>
    <w:rsid w:val="191C2C1D"/>
    <w:rsid w:val="19573C84"/>
    <w:rsid w:val="195D312D"/>
    <w:rsid w:val="19807FF3"/>
    <w:rsid w:val="19AD6DF1"/>
    <w:rsid w:val="19FC102D"/>
    <w:rsid w:val="19FD4125"/>
    <w:rsid w:val="1A1C66C0"/>
    <w:rsid w:val="1A42393B"/>
    <w:rsid w:val="1A5143DD"/>
    <w:rsid w:val="1A5A5981"/>
    <w:rsid w:val="1A7253ED"/>
    <w:rsid w:val="1AAD45DE"/>
    <w:rsid w:val="1AFA404E"/>
    <w:rsid w:val="1B026886"/>
    <w:rsid w:val="1B046F80"/>
    <w:rsid w:val="1B3267B5"/>
    <w:rsid w:val="1B40161D"/>
    <w:rsid w:val="1B441859"/>
    <w:rsid w:val="1B582EC0"/>
    <w:rsid w:val="1B6606B1"/>
    <w:rsid w:val="1B9D2F96"/>
    <w:rsid w:val="1BC16C5D"/>
    <w:rsid w:val="1BCA1EBC"/>
    <w:rsid w:val="1C09471C"/>
    <w:rsid w:val="1C2B48E7"/>
    <w:rsid w:val="1C5E7925"/>
    <w:rsid w:val="1C625023"/>
    <w:rsid w:val="1C895C1D"/>
    <w:rsid w:val="1CAE5717"/>
    <w:rsid w:val="1CB57D93"/>
    <w:rsid w:val="1CED3456"/>
    <w:rsid w:val="1CFD070F"/>
    <w:rsid w:val="1D0923F7"/>
    <w:rsid w:val="1D0962BF"/>
    <w:rsid w:val="1D1B477D"/>
    <w:rsid w:val="1D1C7980"/>
    <w:rsid w:val="1D434191"/>
    <w:rsid w:val="1D5F6196"/>
    <w:rsid w:val="1D6132A5"/>
    <w:rsid w:val="1D7808E9"/>
    <w:rsid w:val="1D7C4765"/>
    <w:rsid w:val="1D89107B"/>
    <w:rsid w:val="1D8E56D5"/>
    <w:rsid w:val="1E080E4E"/>
    <w:rsid w:val="1E626683"/>
    <w:rsid w:val="1E6F0240"/>
    <w:rsid w:val="1E7A43DA"/>
    <w:rsid w:val="1E872E03"/>
    <w:rsid w:val="1ED035B1"/>
    <w:rsid w:val="1F0208B3"/>
    <w:rsid w:val="1F135B3E"/>
    <w:rsid w:val="1F316655"/>
    <w:rsid w:val="1F552B8D"/>
    <w:rsid w:val="1F614905"/>
    <w:rsid w:val="1FE7539E"/>
    <w:rsid w:val="1FF77519"/>
    <w:rsid w:val="20304D41"/>
    <w:rsid w:val="20395D41"/>
    <w:rsid w:val="203A3B29"/>
    <w:rsid w:val="20671BE0"/>
    <w:rsid w:val="20905F52"/>
    <w:rsid w:val="20963CB8"/>
    <w:rsid w:val="20A81A1B"/>
    <w:rsid w:val="20B07FB6"/>
    <w:rsid w:val="20B646FB"/>
    <w:rsid w:val="20C7465A"/>
    <w:rsid w:val="20CD1602"/>
    <w:rsid w:val="213B74B1"/>
    <w:rsid w:val="213F1AB8"/>
    <w:rsid w:val="21430DC6"/>
    <w:rsid w:val="21440D5A"/>
    <w:rsid w:val="21470CB9"/>
    <w:rsid w:val="2158605B"/>
    <w:rsid w:val="215A2310"/>
    <w:rsid w:val="216A2822"/>
    <w:rsid w:val="21A2342E"/>
    <w:rsid w:val="21C04388"/>
    <w:rsid w:val="21C15C53"/>
    <w:rsid w:val="21D12AAB"/>
    <w:rsid w:val="21D57BFB"/>
    <w:rsid w:val="21DE318A"/>
    <w:rsid w:val="21EF5B80"/>
    <w:rsid w:val="21F30426"/>
    <w:rsid w:val="21F64486"/>
    <w:rsid w:val="21FE2533"/>
    <w:rsid w:val="220A7957"/>
    <w:rsid w:val="221807BF"/>
    <w:rsid w:val="222213CA"/>
    <w:rsid w:val="222821B7"/>
    <w:rsid w:val="22576990"/>
    <w:rsid w:val="22582F12"/>
    <w:rsid w:val="22592208"/>
    <w:rsid w:val="2259468A"/>
    <w:rsid w:val="228B5E37"/>
    <w:rsid w:val="22A65D72"/>
    <w:rsid w:val="22B14907"/>
    <w:rsid w:val="22C46662"/>
    <w:rsid w:val="22C4751C"/>
    <w:rsid w:val="22CF0020"/>
    <w:rsid w:val="22DF2376"/>
    <w:rsid w:val="22F47480"/>
    <w:rsid w:val="230519EB"/>
    <w:rsid w:val="23694346"/>
    <w:rsid w:val="23880FAE"/>
    <w:rsid w:val="23B2533F"/>
    <w:rsid w:val="23D26D18"/>
    <w:rsid w:val="23DE1C48"/>
    <w:rsid w:val="23E33C84"/>
    <w:rsid w:val="23F55AD0"/>
    <w:rsid w:val="240210CD"/>
    <w:rsid w:val="24792514"/>
    <w:rsid w:val="249C78F1"/>
    <w:rsid w:val="24BF09F7"/>
    <w:rsid w:val="24D963FB"/>
    <w:rsid w:val="24E7312C"/>
    <w:rsid w:val="251933B0"/>
    <w:rsid w:val="252D53FE"/>
    <w:rsid w:val="2550318E"/>
    <w:rsid w:val="258604BC"/>
    <w:rsid w:val="25EC2D81"/>
    <w:rsid w:val="25F04545"/>
    <w:rsid w:val="25F528D3"/>
    <w:rsid w:val="260C3B97"/>
    <w:rsid w:val="263F1790"/>
    <w:rsid w:val="268A58A2"/>
    <w:rsid w:val="26AA4769"/>
    <w:rsid w:val="26D56782"/>
    <w:rsid w:val="26E30740"/>
    <w:rsid w:val="26EA37EC"/>
    <w:rsid w:val="27010802"/>
    <w:rsid w:val="272D54CA"/>
    <w:rsid w:val="27472DF1"/>
    <w:rsid w:val="277057A2"/>
    <w:rsid w:val="280F2995"/>
    <w:rsid w:val="282A164D"/>
    <w:rsid w:val="28566F9C"/>
    <w:rsid w:val="28A42B15"/>
    <w:rsid w:val="28A73A4B"/>
    <w:rsid w:val="291C2A67"/>
    <w:rsid w:val="29206EB8"/>
    <w:rsid w:val="292F38A2"/>
    <w:rsid w:val="29340CA4"/>
    <w:rsid w:val="29471EC4"/>
    <w:rsid w:val="29595666"/>
    <w:rsid w:val="29686F9F"/>
    <w:rsid w:val="296A7F03"/>
    <w:rsid w:val="29874881"/>
    <w:rsid w:val="29E325E0"/>
    <w:rsid w:val="2A055152"/>
    <w:rsid w:val="2A203466"/>
    <w:rsid w:val="2A375B98"/>
    <w:rsid w:val="2A452503"/>
    <w:rsid w:val="2A664F6F"/>
    <w:rsid w:val="2A720B27"/>
    <w:rsid w:val="2AA30BCF"/>
    <w:rsid w:val="2B0C62F1"/>
    <w:rsid w:val="2B4321B5"/>
    <w:rsid w:val="2B4B56B1"/>
    <w:rsid w:val="2B597649"/>
    <w:rsid w:val="2B7A1422"/>
    <w:rsid w:val="2BA936A8"/>
    <w:rsid w:val="2C0C71DD"/>
    <w:rsid w:val="2C315A5A"/>
    <w:rsid w:val="2C332078"/>
    <w:rsid w:val="2C3B2A84"/>
    <w:rsid w:val="2C430F42"/>
    <w:rsid w:val="2C4B1C25"/>
    <w:rsid w:val="2C6279F5"/>
    <w:rsid w:val="2C855ED4"/>
    <w:rsid w:val="2CA451E4"/>
    <w:rsid w:val="2CB61EB5"/>
    <w:rsid w:val="2D133FE4"/>
    <w:rsid w:val="2D3F0259"/>
    <w:rsid w:val="2D4F78EB"/>
    <w:rsid w:val="2D610D87"/>
    <w:rsid w:val="2D71284D"/>
    <w:rsid w:val="2D9E56F5"/>
    <w:rsid w:val="2DB17A9F"/>
    <w:rsid w:val="2DD42575"/>
    <w:rsid w:val="2DD53BCD"/>
    <w:rsid w:val="2DFC1512"/>
    <w:rsid w:val="2E2B2AA0"/>
    <w:rsid w:val="2E3A7E3A"/>
    <w:rsid w:val="2E4128BF"/>
    <w:rsid w:val="2E4208A8"/>
    <w:rsid w:val="2E4E3351"/>
    <w:rsid w:val="2E667F96"/>
    <w:rsid w:val="2E687C6A"/>
    <w:rsid w:val="2E6D5CFD"/>
    <w:rsid w:val="2E6F2745"/>
    <w:rsid w:val="2E8226AB"/>
    <w:rsid w:val="2E9117CA"/>
    <w:rsid w:val="2ECD4050"/>
    <w:rsid w:val="2EEC5107"/>
    <w:rsid w:val="2F4671EF"/>
    <w:rsid w:val="2F540875"/>
    <w:rsid w:val="2F576F39"/>
    <w:rsid w:val="2F962427"/>
    <w:rsid w:val="2FA13136"/>
    <w:rsid w:val="2FA85A0E"/>
    <w:rsid w:val="2FD065E6"/>
    <w:rsid w:val="2FD71551"/>
    <w:rsid w:val="2FD96870"/>
    <w:rsid w:val="2FF57858"/>
    <w:rsid w:val="30405A48"/>
    <w:rsid w:val="30580BC9"/>
    <w:rsid w:val="307E2402"/>
    <w:rsid w:val="30A9726C"/>
    <w:rsid w:val="30B223A6"/>
    <w:rsid w:val="30C24EA4"/>
    <w:rsid w:val="30E030F9"/>
    <w:rsid w:val="30E054A8"/>
    <w:rsid w:val="311E2ED7"/>
    <w:rsid w:val="31234F54"/>
    <w:rsid w:val="312D6912"/>
    <w:rsid w:val="314F14B6"/>
    <w:rsid w:val="315619EE"/>
    <w:rsid w:val="315C449C"/>
    <w:rsid w:val="31946D63"/>
    <w:rsid w:val="31B82709"/>
    <w:rsid w:val="31D05482"/>
    <w:rsid w:val="31D76F9C"/>
    <w:rsid w:val="3213690D"/>
    <w:rsid w:val="321A2C92"/>
    <w:rsid w:val="32400B34"/>
    <w:rsid w:val="32694A99"/>
    <w:rsid w:val="32991F00"/>
    <w:rsid w:val="329E6876"/>
    <w:rsid w:val="32C71450"/>
    <w:rsid w:val="32D64791"/>
    <w:rsid w:val="32DB20F0"/>
    <w:rsid w:val="32EE4605"/>
    <w:rsid w:val="333015F2"/>
    <w:rsid w:val="3339308A"/>
    <w:rsid w:val="334A1C47"/>
    <w:rsid w:val="334B6320"/>
    <w:rsid w:val="339C6FFD"/>
    <w:rsid w:val="33B522FB"/>
    <w:rsid w:val="33BE51B2"/>
    <w:rsid w:val="33C93089"/>
    <w:rsid w:val="33D54FA4"/>
    <w:rsid w:val="33D91E78"/>
    <w:rsid w:val="33D934D4"/>
    <w:rsid w:val="33F40C13"/>
    <w:rsid w:val="33F46546"/>
    <w:rsid w:val="33FE2F6A"/>
    <w:rsid w:val="340232D2"/>
    <w:rsid w:val="340E07E5"/>
    <w:rsid w:val="34235BF7"/>
    <w:rsid w:val="34264534"/>
    <w:rsid w:val="344F0C9B"/>
    <w:rsid w:val="345C0C40"/>
    <w:rsid w:val="34607C42"/>
    <w:rsid w:val="347B6399"/>
    <w:rsid w:val="347E1AF7"/>
    <w:rsid w:val="34A02439"/>
    <w:rsid w:val="34AC7387"/>
    <w:rsid w:val="34D47966"/>
    <w:rsid w:val="34D904B7"/>
    <w:rsid w:val="35256640"/>
    <w:rsid w:val="35463A9C"/>
    <w:rsid w:val="355135DD"/>
    <w:rsid w:val="35624911"/>
    <w:rsid w:val="358C5FA8"/>
    <w:rsid w:val="35C15DF1"/>
    <w:rsid w:val="35F20650"/>
    <w:rsid w:val="36074A7F"/>
    <w:rsid w:val="36162E0D"/>
    <w:rsid w:val="36163808"/>
    <w:rsid w:val="365F66CC"/>
    <w:rsid w:val="3672421E"/>
    <w:rsid w:val="36923549"/>
    <w:rsid w:val="36B56FF4"/>
    <w:rsid w:val="36B75FBF"/>
    <w:rsid w:val="36BD0C45"/>
    <w:rsid w:val="36DF48B6"/>
    <w:rsid w:val="371377B2"/>
    <w:rsid w:val="373B6B4A"/>
    <w:rsid w:val="374730B1"/>
    <w:rsid w:val="377A2701"/>
    <w:rsid w:val="37BD4049"/>
    <w:rsid w:val="37D679D8"/>
    <w:rsid w:val="37E00298"/>
    <w:rsid w:val="37F430BE"/>
    <w:rsid w:val="380060CA"/>
    <w:rsid w:val="38387E82"/>
    <w:rsid w:val="385D4D74"/>
    <w:rsid w:val="38A34204"/>
    <w:rsid w:val="38B302F9"/>
    <w:rsid w:val="38CC3999"/>
    <w:rsid w:val="38D87D18"/>
    <w:rsid w:val="38F12CD3"/>
    <w:rsid w:val="38F94775"/>
    <w:rsid w:val="390F3D3B"/>
    <w:rsid w:val="391057AB"/>
    <w:rsid w:val="39110191"/>
    <w:rsid w:val="3919008B"/>
    <w:rsid w:val="392971ED"/>
    <w:rsid w:val="39325651"/>
    <w:rsid w:val="39882B44"/>
    <w:rsid w:val="39DE5992"/>
    <w:rsid w:val="39DF2798"/>
    <w:rsid w:val="3A5C1EF8"/>
    <w:rsid w:val="3A5E5CB7"/>
    <w:rsid w:val="3A776BEC"/>
    <w:rsid w:val="3A872856"/>
    <w:rsid w:val="3AA617E3"/>
    <w:rsid w:val="3AB605BC"/>
    <w:rsid w:val="3ADA04F6"/>
    <w:rsid w:val="3ADB6411"/>
    <w:rsid w:val="3B3763D1"/>
    <w:rsid w:val="3B542BFD"/>
    <w:rsid w:val="3B6074D4"/>
    <w:rsid w:val="3B9D5DAF"/>
    <w:rsid w:val="3BBC696F"/>
    <w:rsid w:val="3BF31E34"/>
    <w:rsid w:val="3C0F3670"/>
    <w:rsid w:val="3C1A62C7"/>
    <w:rsid w:val="3C2907E4"/>
    <w:rsid w:val="3C2F6E1E"/>
    <w:rsid w:val="3C4F64BA"/>
    <w:rsid w:val="3C5802AA"/>
    <w:rsid w:val="3C8A4ABF"/>
    <w:rsid w:val="3CCB1C22"/>
    <w:rsid w:val="3CDA245A"/>
    <w:rsid w:val="3CF47D1C"/>
    <w:rsid w:val="3D1E06B7"/>
    <w:rsid w:val="3D4C4C50"/>
    <w:rsid w:val="3D7D24E6"/>
    <w:rsid w:val="3DAD7AA5"/>
    <w:rsid w:val="3DBB7D00"/>
    <w:rsid w:val="3DBF7265"/>
    <w:rsid w:val="3E1B2CA0"/>
    <w:rsid w:val="3E3A0D5A"/>
    <w:rsid w:val="3E3D61CD"/>
    <w:rsid w:val="3E5803E4"/>
    <w:rsid w:val="3E64161F"/>
    <w:rsid w:val="3E703F31"/>
    <w:rsid w:val="3E89489D"/>
    <w:rsid w:val="3EDA0523"/>
    <w:rsid w:val="3EEA67E7"/>
    <w:rsid w:val="3F464CE2"/>
    <w:rsid w:val="3F6C2147"/>
    <w:rsid w:val="3F6C4252"/>
    <w:rsid w:val="3F814A45"/>
    <w:rsid w:val="3F924169"/>
    <w:rsid w:val="3FA5548D"/>
    <w:rsid w:val="3FBC2415"/>
    <w:rsid w:val="40783534"/>
    <w:rsid w:val="407A6407"/>
    <w:rsid w:val="40A20E24"/>
    <w:rsid w:val="40A93512"/>
    <w:rsid w:val="40DD5DC1"/>
    <w:rsid w:val="40E77948"/>
    <w:rsid w:val="40ED2D4D"/>
    <w:rsid w:val="40F07523"/>
    <w:rsid w:val="412D70FE"/>
    <w:rsid w:val="414068D5"/>
    <w:rsid w:val="41C468F5"/>
    <w:rsid w:val="4200449D"/>
    <w:rsid w:val="423A3BCC"/>
    <w:rsid w:val="424C5DFE"/>
    <w:rsid w:val="424E57D2"/>
    <w:rsid w:val="426579D7"/>
    <w:rsid w:val="42780E70"/>
    <w:rsid w:val="4289730E"/>
    <w:rsid w:val="428A04DF"/>
    <w:rsid w:val="42B26C49"/>
    <w:rsid w:val="42B52500"/>
    <w:rsid w:val="42FC1C8E"/>
    <w:rsid w:val="433356F2"/>
    <w:rsid w:val="433A6FE6"/>
    <w:rsid w:val="43480868"/>
    <w:rsid w:val="4350713C"/>
    <w:rsid w:val="436653E0"/>
    <w:rsid w:val="437E5302"/>
    <w:rsid w:val="43B85357"/>
    <w:rsid w:val="43C4431A"/>
    <w:rsid w:val="43CC1A91"/>
    <w:rsid w:val="43EE1192"/>
    <w:rsid w:val="4412026E"/>
    <w:rsid w:val="44265AC7"/>
    <w:rsid w:val="443F0925"/>
    <w:rsid w:val="44430124"/>
    <w:rsid w:val="44B951CC"/>
    <w:rsid w:val="44BB4CD1"/>
    <w:rsid w:val="44CD14E0"/>
    <w:rsid w:val="44E16E45"/>
    <w:rsid w:val="44F20B0B"/>
    <w:rsid w:val="45232F0A"/>
    <w:rsid w:val="452E5F4C"/>
    <w:rsid w:val="452F1464"/>
    <w:rsid w:val="45485B18"/>
    <w:rsid w:val="4555138E"/>
    <w:rsid w:val="45612018"/>
    <w:rsid w:val="458946E9"/>
    <w:rsid w:val="45A47C0E"/>
    <w:rsid w:val="45A66123"/>
    <w:rsid w:val="45C800C6"/>
    <w:rsid w:val="45E33D05"/>
    <w:rsid w:val="45EA1A61"/>
    <w:rsid w:val="45F760FE"/>
    <w:rsid w:val="45FC63E8"/>
    <w:rsid w:val="460A4AF9"/>
    <w:rsid w:val="46577FD6"/>
    <w:rsid w:val="46673321"/>
    <w:rsid w:val="46713FA7"/>
    <w:rsid w:val="46AB39E4"/>
    <w:rsid w:val="46B66B32"/>
    <w:rsid w:val="46C35824"/>
    <w:rsid w:val="46D955A7"/>
    <w:rsid w:val="47064171"/>
    <w:rsid w:val="47133957"/>
    <w:rsid w:val="474041FC"/>
    <w:rsid w:val="474533C6"/>
    <w:rsid w:val="478B41B5"/>
    <w:rsid w:val="47A07E0C"/>
    <w:rsid w:val="47DC6C4F"/>
    <w:rsid w:val="486B750D"/>
    <w:rsid w:val="48702595"/>
    <w:rsid w:val="4870272E"/>
    <w:rsid w:val="489F3B24"/>
    <w:rsid w:val="48A420F9"/>
    <w:rsid w:val="48C953A8"/>
    <w:rsid w:val="48ED6491"/>
    <w:rsid w:val="491F6CC0"/>
    <w:rsid w:val="492E1E85"/>
    <w:rsid w:val="49551480"/>
    <w:rsid w:val="4969778E"/>
    <w:rsid w:val="497904F2"/>
    <w:rsid w:val="49A21959"/>
    <w:rsid w:val="49CE5076"/>
    <w:rsid w:val="49D24067"/>
    <w:rsid w:val="49DA507F"/>
    <w:rsid w:val="49DC7715"/>
    <w:rsid w:val="49F10E22"/>
    <w:rsid w:val="49FE0EE9"/>
    <w:rsid w:val="4A023139"/>
    <w:rsid w:val="4A0675B8"/>
    <w:rsid w:val="4A5562D0"/>
    <w:rsid w:val="4A7B576F"/>
    <w:rsid w:val="4A970364"/>
    <w:rsid w:val="4A9E7C91"/>
    <w:rsid w:val="4A9F602B"/>
    <w:rsid w:val="4AE539A7"/>
    <w:rsid w:val="4AF561A9"/>
    <w:rsid w:val="4AF57A1F"/>
    <w:rsid w:val="4AF80605"/>
    <w:rsid w:val="4B2C0C37"/>
    <w:rsid w:val="4B6259D4"/>
    <w:rsid w:val="4B6C4A85"/>
    <w:rsid w:val="4BE17489"/>
    <w:rsid w:val="4BF4042E"/>
    <w:rsid w:val="4C16449C"/>
    <w:rsid w:val="4C1E2984"/>
    <w:rsid w:val="4C257A8D"/>
    <w:rsid w:val="4C4A0649"/>
    <w:rsid w:val="4C7E5ECA"/>
    <w:rsid w:val="4C854C76"/>
    <w:rsid w:val="4C876AA5"/>
    <w:rsid w:val="4CB35009"/>
    <w:rsid w:val="4D0E00FB"/>
    <w:rsid w:val="4D176606"/>
    <w:rsid w:val="4D684FDD"/>
    <w:rsid w:val="4D7A5689"/>
    <w:rsid w:val="4D864472"/>
    <w:rsid w:val="4D8D440E"/>
    <w:rsid w:val="4D940C04"/>
    <w:rsid w:val="4DEC4FB0"/>
    <w:rsid w:val="4E035DB6"/>
    <w:rsid w:val="4E075D8A"/>
    <w:rsid w:val="4E2911DD"/>
    <w:rsid w:val="4E3671C2"/>
    <w:rsid w:val="4E695784"/>
    <w:rsid w:val="4E7A64F3"/>
    <w:rsid w:val="4EB127C4"/>
    <w:rsid w:val="4EC00FAD"/>
    <w:rsid w:val="4EE852BE"/>
    <w:rsid w:val="4EF339B1"/>
    <w:rsid w:val="4F3248CB"/>
    <w:rsid w:val="4F9843DC"/>
    <w:rsid w:val="4FB30889"/>
    <w:rsid w:val="4FC62A8C"/>
    <w:rsid w:val="4FDB073A"/>
    <w:rsid w:val="4FE20F0D"/>
    <w:rsid w:val="4FE51552"/>
    <w:rsid w:val="4FEB612E"/>
    <w:rsid w:val="4FED1C4D"/>
    <w:rsid w:val="4FFD2378"/>
    <w:rsid w:val="500B6D6C"/>
    <w:rsid w:val="50154418"/>
    <w:rsid w:val="50504C4B"/>
    <w:rsid w:val="505457D6"/>
    <w:rsid w:val="50552C5C"/>
    <w:rsid w:val="50602E21"/>
    <w:rsid w:val="50825B68"/>
    <w:rsid w:val="509C6E7C"/>
    <w:rsid w:val="50A91F60"/>
    <w:rsid w:val="50AF7944"/>
    <w:rsid w:val="50BE6F3F"/>
    <w:rsid w:val="50BE7FEA"/>
    <w:rsid w:val="50C53AEC"/>
    <w:rsid w:val="513F4EFB"/>
    <w:rsid w:val="5162104E"/>
    <w:rsid w:val="51773FFC"/>
    <w:rsid w:val="51856625"/>
    <w:rsid w:val="521057D5"/>
    <w:rsid w:val="52480857"/>
    <w:rsid w:val="526B420A"/>
    <w:rsid w:val="528B737C"/>
    <w:rsid w:val="530915C4"/>
    <w:rsid w:val="531C22BF"/>
    <w:rsid w:val="53285014"/>
    <w:rsid w:val="532F4F57"/>
    <w:rsid w:val="53395F3C"/>
    <w:rsid w:val="53567B7D"/>
    <w:rsid w:val="53A039CC"/>
    <w:rsid w:val="53A1505A"/>
    <w:rsid w:val="53A948B3"/>
    <w:rsid w:val="53B202E5"/>
    <w:rsid w:val="53B30EDB"/>
    <w:rsid w:val="53B51FA6"/>
    <w:rsid w:val="53D62FB5"/>
    <w:rsid w:val="53F20955"/>
    <w:rsid w:val="54063E08"/>
    <w:rsid w:val="543437E8"/>
    <w:rsid w:val="543870C4"/>
    <w:rsid w:val="547C73F9"/>
    <w:rsid w:val="549E0314"/>
    <w:rsid w:val="54B57135"/>
    <w:rsid w:val="54DE32CB"/>
    <w:rsid w:val="54F73313"/>
    <w:rsid w:val="54F80955"/>
    <w:rsid w:val="5516381E"/>
    <w:rsid w:val="552D1A7E"/>
    <w:rsid w:val="553D5DD6"/>
    <w:rsid w:val="555170A7"/>
    <w:rsid w:val="55574922"/>
    <w:rsid w:val="556C6DFE"/>
    <w:rsid w:val="5587536D"/>
    <w:rsid w:val="558F1176"/>
    <w:rsid w:val="559B174B"/>
    <w:rsid w:val="55B25BED"/>
    <w:rsid w:val="55CE0CF4"/>
    <w:rsid w:val="55FC5C26"/>
    <w:rsid w:val="55FD2B31"/>
    <w:rsid w:val="56031195"/>
    <w:rsid w:val="56553858"/>
    <w:rsid w:val="56A4669B"/>
    <w:rsid w:val="56AE7E4F"/>
    <w:rsid w:val="56B22A9C"/>
    <w:rsid w:val="56D46334"/>
    <w:rsid w:val="56DF6A20"/>
    <w:rsid w:val="56E0267D"/>
    <w:rsid w:val="56F8017E"/>
    <w:rsid w:val="57083DBC"/>
    <w:rsid w:val="573378DF"/>
    <w:rsid w:val="57366E94"/>
    <w:rsid w:val="575A2DF2"/>
    <w:rsid w:val="5771417A"/>
    <w:rsid w:val="5780307D"/>
    <w:rsid w:val="57A33498"/>
    <w:rsid w:val="57B32307"/>
    <w:rsid w:val="57B72A76"/>
    <w:rsid w:val="57C3426C"/>
    <w:rsid w:val="57CE1F93"/>
    <w:rsid w:val="57D74F0C"/>
    <w:rsid w:val="580B304A"/>
    <w:rsid w:val="58233DBB"/>
    <w:rsid w:val="58306079"/>
    <w:rsid w:val="588743D1"/>
    <w:rsid w:val="5887701A"/>
    <w:rsid w:val="58CD0D72"/>
    <w:rsid w:val="58E514E6"/>
    <w:rsid w:val="59400C12"/>
    <w:rsid w:val="596205E9"/>
    <w:rsid w:val="597D4AAA"/>
    <w:rsid w:val="5993310B"/>
    <w:rsid w:val="5994077C"/>
    <w:rsid w:val="59C0439F"/>
    <w:rsid w:val="59C17735"/>
    <w:rsid w:val="59F05F29"/>
    <w:rsid w:val="59F91A11"/>
    <w:rsid w:val="5A2F6C42"/>
    <w:rsid w:val="5A3D394C"/>
    <w:rsid w:val="5AB26DBD"/>
    <w:rsid w:val="5AB3379A"/>
    <w:rsid w:val="5ABE2233"/>
    <w:rsid w:val="5B183703"/>
    <w:rsid w:val="5B31053C"/>
    <w:rsid w:val="5B347888"/>
    <w:rsid w:val="5B51733D"/>
    <w:rsid w:val="5B5454BE"/>
    <w:rsid w:val="5B880B61"/>
    <w:rsid w:val="5B9C4297"/>
    <w:rsid w:val="5BAA5273"/>
    <w:rsid w:val="5BCE610D"/>
    <w:rsid w:val="5BCF475B"/>
    <w:rsid w:val="5BD917BD"/>
    <w:rsid w:val="5BDF5D95"/>
    <w:rsid w:val="5BEC6CFA"/>
    <w:rsid w:val="5BFE7528"/>
    <w:rsid w:val="5C2E108A"/>
    <w:rsid w:val="5C3E0494"/>
    <w:rsid w:val="5C4014B3"/>
    <w:rsid w:val="5C993905"/>
    <w:rsid w:val="5CBC1757"/>
    <w:rsid w:val="5CD62D59"/>
    <w:rsid w:val="5D0008A9"/>
    <w:rsid w:val="5D0D768D"/>
    <w:rsid w:val="5D181689"/>
    <w:rsid w:val="5D1B674D"/>
    <w:rsid w:val="5D7327FC"/>
    <w:rsid w:val="5D8329ED"/>
    <w:rsid w:val="5D9B2B90"/>
    <w:rsid w:val="5DC12269"/>
    <w:rsid w:val="5DC975CA"/>
    <w:rsid w:val="5DE66B94"/>
    <w:rsid w:val="5DEC63AF"/>
    <w:rsid w:val="5DF23BE7"/>
    <w:rsid w:val="5DF511BF"/>
    <w:rsid w:val="5E066FC1"/>
    <w:rsid w:val="5E2467F1"/>
    <w:rsid w:val="5E283829"/>
    <w:rsid w:val="5E426A05"/>
    <w:rsid w:val="5E834539"/>
    <w:rsid w:val="5F1A2B43"/>
    <w:rsid w:val="5F30036F"/>
    <w:rsid w:val="5F345C63"/>
    <w:rsid w:val="5F8A723E"/>
    <w:rsid w:val="5FB837BB"/>
    <w:rsid w:val="5FE970FE"/>
    <w:rsid w:val="600C1393"/>
    <w:rsid w:val="6010203E"/>
    <w:rsid w:val="602A292B"/>
    <w:rsid w:val="603C283D"/>
    <w:rsid w:val="604B532B"/>
    <w:rsid w:val="607B23EA"/>
    <w:rsid w:val="60CC405A"/>
    <w:rsid w:val="61290D73"/>
    <w:rsid w:val="613C00B1"/>
    <w:rsid w:val="6142670D"/>
    <w:rsid w:val="614455A6"/>
    <w:rsid w:val="617377A1"/>
    <w:rsid w:val="61861EA5"/>
    <w:rsid w:val="61E215D8"/>
    <w:rsid w:val="61E52C3F"/>
    <w:rsid w:val="620D6C70"/>
    <w:rsid w:val="62155E01"/>
    <w:rsid w:val="621B3775"/>
    <w:rsid w:val="6224158E"/>
    <w:rsid w:val="622F5E57"/>
    <w:rsid w:val="62364782"/>
    <w:rsid w:val="626E0210"/>
    <w:rsid w:val="62827C3F"/>
    <w:rsid w:val="62A27AED"/>
    <w:rsid w:val="62C1238F"/>
    <w:rsid w:val="62C77C33"/>
    <w:rsid w:val="62CC3B66"/>
    <w:rsid w:val="62F45FCC"/>
    <w:rsid w:val="62F80177"/>
    <w:rsid w:val="62F93A18"/>
    <w:rsid w:val="63021B8B"/>
    <w:rsid w:val="6304046C"/>
    <w:rsid w:val="63123DB7"/>
    <w:rsid w:val="63444B31"/>
    <w:rsid w:val="6394356A"/>
    <w:rsid w:val="63944BB9"/>
    <w:rsid w:val="63A64634"/>
    <w:rsid w:val="63C61B2C"/>
    <w:rsid w:val="63D40BE9"/>
    <w:rsid w:val="63E56CE3"/>
    <w:rsid w:val="64102431"/>
    <w:rsid w:val="6416321E"/>
    <w:rsid w:val="64426F0E"/>
    <w:rsid w:val="644555C5"/>
    <w:rsid w:val="645A6CE2"/>
    <w:rsid w:val="64A5243A"/>
    <w:rsid w:val="64D24114"/>
    <w:rsid w:val="64D3169A"/>
    <w:rsid w:val="64DA7CF8"/>
    <w:rsid w:val="64F531DE"/>
    <w:rsid w:val="652F5484"/>
    <w:rsid w:val="65373578"/>
    <w:rsid w:val="654479F8"/>
    <w:rsid w:val="654B2CED"/>
    <w:rsid w:val="654B3EB9"/>
    <w:rsid w:val="65966C49"/>
    <w:rsid w:val="65C600FB"/>
    <w:rsid w:val="65D423D3"/>
    <w:rsid w:val="65E8252C"/>
    <w:rsid w:val="65EC15BA"/>
    <w:rsid w:val="65F216D3"/>
    <w:rsid w:val="662412FD"/>
    <w:rsid w:val="66D0634E"/>
    <w:rsid w:val="671F124A"/>
    <w:rsid w:val="674D3ADD"/>
    <w:rsid w:val="677A33C6"/>
    <w:rsid w:val="6799138E"/>
    <w:rsid w:val="67BE4491"/>
    <w:rsid w:val="67BF1D5C"/>
    <w:rsid w:val="681F6961"/>
    <w:rsid w:val="6841550B"/>
    <w:rsid w:val="685E6F2A"/>
    <w:rsid w:val="68610A2F"/>
    <w:rsid w:val="68705162"/>
    <w:rsid w:val="687E6EDA"/>
    <w:rsid w:val="68805514"/>
    <w:rsid w:val="68D77F94"/>
    <w:rsid w:val="69111E54"/>
    <w:rsid w:val="69254D25"/>
    <w:rsid w:val="692817FF"/>
    <w:rsid w:val="69316E2F"/>
    <w:rsid w:val="69466D5B"/>
    <w:rsid w:val="694E2071"/>
    <w:rsid w:val="696D7328"/>
    <w:rsid w:val="69766163"/>
    <w:rsid w:val="697A3B33"/>
    <w:rsid w:val="69847ADF"/>
    <w:rsid w:val="69B573A3"/>
    <w:rsid w:val="69D44760"/>
    <w:rsid w:val="69DC0BB8"/>
    <w:rsid w:val="69E06334"/>
    <w:rsid w:val="69FA6652"/>
    <w:rsid w:val="6A2E07CB"/>
    <w:rsid w:val="6A325BB0"/>
    <w:rsid w:val="6A461C06"/>
    <w:rsid w:val="6A520EC7"/>
    <w:rsid w:val="6AC74B79"/>
    <w:rsid w:val="6AF87E20"/>
    <w:rsid w:val="6B322639"/>
    <w:rsid w:val="6B83722F"/>
    <w:rsid w:val="6B8610B0"/>
    <w:rsid w:val="6B8C5A17"/>
    <w:rsid w:val="6B8E51A3"/>
    <w:rsid w:val="6B8F24F6"/>
    <w:rsid w:val="6B907305"/>
    <w:rsid w:val="6B993CE4"/>
    <w:rsid w:val="6BCF003C"/>
    <w:rsid w:val="6BF00AF0"/>
    <w:rsid w:val="6C0813CA"/>
    <w:rsid w:val="6C110963"/>
    <w:rsid w:val="6C2916A4"/>
    <w:rsid w:val="6C531C1A"/>
    <w:rsid w:val="6C636C38"/>
    <w:rsid w:val="6C6932E7"/>
    <w:rsid w:val="6C81740B"/>
    <w:rsid w:val="6CCC7502"/>
    <w:rsid w:val="6CF07D78"/>
    <w:rsid w:val="6D0158A3"/>
    <w:rsid w:val="6D0B2169"/>
    <w:rsid w:val="6D2F5DEF"/>
    <w:rsid w:val="6D703190"/>
    <w:rsid w:val="6DB34098"/>
    <w:rsid w:val="6DB545B6"/>
    <w:rsid w:val="6DC74753"/>
    <w:rsid w:val="6DDB14B8"/>
    <w:rsid w:val="6DDF5F5A"/>
    <w:rsid w:val="6DE02FB4"/>
    <w:rsid w:val="6DE65D0B"/>
    <w:rsid w:val="6E3F61CF"/>
    <w:rsid w:val="6E514CED"/>
    <w:rsid w:val="6E882BAC"/>
    <w:rsid w:val="6EB563D5"/>
    <w:rsid w:val="6ED92677"/>
    <w:rsid w:val="6EF67DCC"/>
    <w:rsid w:val="6F0C6D2C"/>
    <w:rsid w:val="6F1F3D34"/>
    <w:rsid w:val="6F1F4531"/>
    <w:rsid w:val="6F225983"/>
    <w:rsid w:val="6F655C99"/>
    <w:rsid w:val="6FAA0DBD"/>
    <w:rsid w:val="6FC3557F"/>
    <w:rsid w:val="6FEE4E0B"/>
    <w:rsid w:val="6FFC5590"/>
    <w:rsid w:val="70013488"/>
    <w:rsid w:val="704C370B"/>
    <w:rsid w:val="70625D34"/>
    <w:rsid w:val="706D1DD0"/>
    <w:rsid w:val="70713B9B"/>
    <w:rsid w:val="707643FC"/>
    <w:rsid w:val="707B5781"/>
    <w:rsid w:val="707E7797"/>
    <w:rsid w:val="70833273"/>
    <w:rsid w:val="70856B87"/>
    <w:rsid w:val="708C1BDB"/>
    <w:rsid w:val="708E2347"/>
    <w:rsid w:val="70C6781A"/>
    <w:rsid w:val="70D527EE"/>
    <w:rsid w:val="70E126A1"/>
    <w:rsid w:val="70F8143D"/>
    <w:rsid w:val="7154153D"/>
    <w:rsid w:val="715B5300"/>
    <w:rsid w:val="715D0783"/>
    <w:rsid w:val="715D7492"/>
    <w:rsid w:val="71892A51"/>
    <w:rsid w:val="718B7CDC"/>
    <w:rsid w:val="71A529A6"/>
    <w:rsid w:val="71B471D7"/>
    <w:rsid w:val="71D27F8A"/>
    <w:rsid w:val="72022274"/>
    <w:rsid w:val="72113826"/>
    <w:rsid w:val="72200849"/>
    <w:rsid w:val="72242E3E"/>
    <w:rsid w:val="72464238"/>
    <w:rsid w:val="72553024"/>
    <w:rsid w:val="72777C5C"/>
    <w:rsid w:val="72930E1A"/>
    <w:rsid w:val="72BC3178"/>
    <w:rsid w:val="72EA6839"/>
    <w:rsid w:val="73122968"/>
    <w:rsid w:val="731F5D5E"/>
    <w:rsid w:val="735F7A42"/>
    <w:rsid w:val="736B19E0"/>
    <w:rsid w:val="7372010F"/>
    <w:rsid w:val="73C51AD5"/>
    <w:rsid w:val="73CE54DC"/>
    <w:rsid w:val="74064902"/>
    <w:rsid w:val="740E196D"/>
    <w:rsid w:val="741E793C"/>
    <w:rsid w:val="7433104E"/>
    <w:rsid w:val="744F1E6B"/>
    <w:rsid w:val="745C0880"/>
    <w:rsid w:val="745E3944"/>
    <w:rsid w:val="74A12669"/>
    <w:rsid w:val="74A967A3"/>
    <w:rsid w:val="75166198"/>
    <w:rsid w:val="7517375D"/>
    <w:rsid w:val="752F7C30"/>
    <w:rsid w:val="754B1B79"/>
    <w:rsid w:val="754E44A9"/>
    <w:rsid w:val="7564469B"/>
    <w:rsid w:val="75761304"/>
    <w:rsid w:val="75B87E6A"/>
    <w:rsid w:val="75C1162A"/>
    <w:rsid w:val="75C921A4"/>
    <w:rsid w:val="762720E6"/>
    <w:rsid w:val="76336339"/>
    <w:rsid w:val="7635099D"/>
    <w:rsid w:val="763D29E3"/>
    <w:rsid w:val="76692B50"/>
    <w:rsid w:val="76692E04"/>
    <w:rsid w:val="76976842"/>
    <w:rsid w:val="76A3008E"/>
    <w:rsid w:val="770F523E"/>
    <w:rsid w:val="773D6962"/>
    <w:rsid w:val="77762421"/>
    <w:rsid w:val="77997272"/>
    <w:rsid w:val="77B56B1F"/>
    <w:rsid w:val="77CA48C9"/>
    <w:rsid w:val="77EF195F"/>
    <w:rsid w:val="77FF17B2"/>
    <w:rsid w:val="780F09F4"/>
    <w:rsid w:val="78146E49"/>
    <w:rsid w:val="78391645"/>
    <w:rsid w:val="78A90480"/>
    <w:rsid w:val="791F4F7D"/>
    <w:rsid w:val="79351CFA"/>
    <w:rsid w:val="797B38CD"/>
    <w:rsid w:val="79D747AE"/>
    <w:rsid w:val="79E57771"/>
    <w:rsid w:val="7A14495B"/>
    <w:rsid w:val="7A364017"/>
    <w:rsid w:val="7A52068E"/>
    <w:rsid w:val="7A8265E1"/>
    <w:rsid w:val="7A8D65CA"/>
    <w:rsid w:val="7A995801"/>
    <w:rsid w:val="7AB86DC3"/>
    <w:rsid w:val="7ABA7328"/>
    <w:rsid w:val="7AC10133"/>
    <w:rsid w:val="7AC40199"/>
    <w:rsid w:val="7AD14234"/>
    <w:rsid w:val="7AE92C8C"/>
    <w:rsid w:val="7B000BD6"/>
    <w:rsid w:val="7B0C1FCC"/>
    <w:rsid w:val="7B1A0B8E"/>
    <w:rsid w:val="7B47288E"/>
    <w:rsid w:val="7B535796"/>
    <w:rsid w:val="7B686D42"/>
    <w:rsid w:val="7B841746"/>
    <w:rsid w:val="7B961BB3"/>
    <w:rsid w:val="7B970ABE"/>
    <w:rsid w:val="7BF9593F"/>
    <w:rsid w:val="7C267E70"/>
    <w:rsid w:val="7C6531E9"/>
    <w:rsid w:val="7C6938EF"/>
    <w:rsid w:val="7C6C5AC7"/>
    <w:rsid w:val="7CA3719B"/>
    <w:rsid w:val="7CC6544B"/>
    <w:rsid w:val="7CD34AC8"/>
    <w:rsid w:val="7D004E87"/>
    <w:rsid w:val="7D0239FF"/>
    <w:rsid w:val="7D1501A0"/>
    <w:rsid w:val="7D273E1B"/>
    <w:rsid w:val="7D5E40CD"/>
    <w:rsid w:val="7D645153"/>
    <w:rsid w:val="7D7249DE"/>
    <w:rsid w:val="7DB13F4C"/>
    <w:rsid w:val="7DCD56F2"/>
    <w:rsid w:val="7E1603EE"/>
    <w:rsid w:val="7E1D02D4"/>
    <w:rsid w:val="7E2A463E"/>
    <w:rsid w:val="7E3C68A8"/>
    <w:rsid w:val="7E430B7A"/>
    <w:rsid w:val="7E4F58CD"/>
    <w:rsid w:val="7E7A4665"/>
    <w:rsid w:val="7EC91827"/>
    <w:rsid w:val="7EE36E9D"/>
    <w:rsid w:val="7EED0DEA"/>
    <w:rsid w:val="7F001CE7"/>
    <w:rsid w:val="7F064B9D"/>
    <w:rsid w:val="7F2F474C"/>
    <w:rsid w:val="7F5A13DA"/>
    <w:rsid w:val="7F5B2F3F"/>
    <w:rsid w:val="7FE47E50"/>
    <w:rsid w:val="7FEC157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nhideWhenUsed="0" w:uiPriority="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qFormat="1"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tabs>
        <w:tab w:val="left" w:pos="1080"/>
      </w:tabs>
      <w:spacing w:before="193" w:beforeLines="50" w:after="193" w:afterLines="50" w:line="360" w:lineRule="auto"/>
      <w:outlineLvl w:val="1"/>
    </w:pPr>
    <w:rPr>
      <w:sz w:val="28"/>
    </w:rPr>
  </w:style>
  <w:style w:type="paragraph" w:styleId="4">
    <w:name w:val="heading 3"/>
    <w:basedOn w:val="1"/>
    <w:next w:val="1"/>
    <w:qFormat/>
    <w:locked/>
    <w:uiPriority w:val="0"/>
    <w:pPr>
      <w:keepNext/>
      <w:keepLines/>
      <w:spacing w:beforeLines="0" w:beforeAutospacing="0" w:afterLines="0" w:afterAutospacing="0" w:line="360" w:lineRule="auto"/>
      <w:ind w:firstLine="482" w:firstLineChars="200"/>
      <w:outlineLvl w:val="2"/>
    </w:pPr>
    <w:rPr>
      <w:b/>
    </w:rPr>
  </w:style>
  <w:style w:type="paragraph" w:styleId="5">
    <w:name w:val="heading 4"/>
    <w:basedOn w:val="1"/>
    <w:next w:val="1"/>
    <w:unhideWhenUsed/>
    <w:qFormat/>
    <w:locked/>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styleId="6">
    <w:name w:val="Normal Indent"/>
    <w:basedOn w:val="1"/>
    <w:next w:val="7"/>
    <w:unhideWhenUsed/>
    <w:qFormat/>
    <w:locked/>
    <w:uiPriority w:val="0"/>
    <w:pPr>
      <w:ind w:firstLine="420"/>
    </w:pPr>
    <w:rPr>
      <w:rFonts w:ascii="Calibri" w:hAnsi="Calibri"/>
      <w:kern w:val="0"/>
      <w:sz w:val="24"/>
      <w:szCs w:val="20"/>
    </w:rPr>
  </w:style>
  <w:style w:type="paragraph" w:styleId="7">
    <w:name w:val="Body Text First Indent 2"/>
    <w:basedOn w:val="8"/>
    <w:next w:val="1"/>
    <w:qFormat/>
    <w:locked/>
    <w:uiPriority w:val="0"/>
    <w:pPr>
      <w:spacing w:after="120" w:line="240" w:lineRule="auto"/>
      <w:ind w:left="420" w:firstLine="210"/>
    </w:pPr>
    <w:rPr>
      <w:rFonts w:ascii="Times New Roman" w:eastAsia="楷体_GB2312"/>
    </w:rPr>
  </w:style>
  <w:style w:type="paragraph" w:styleId="8">
    <w:name w:val="Body Text Indent"/>
    <w:basedOn w:val="1"/>
    <w:next w:val="1"/>
    <w:link w:val="29"/>
    <w:qFormat/>
    <w:uiPriority w:val="0"/>
    <w:pPr>
      <w:spacing w:after="120"/>
      <w:ind w:left="420" w:leftChars="200"/>
    </w:pPr>
    <w:rPr>
      <w:kern w:val="0"/>
      <w:sz w:val="24"/>
      <w:szCs w:val="20"/>
    </w:rPr>
  </w:style>
  <w:style w:type="paragraph" w:styleId="9">
    <w:name w:val="annotation text"/>
    <w:basedOn w:val="1"/>
    <w:link w:val="30"/>
    <w:semiHidden/>
    <w:qFormat/>
    <w:uiPriority w:val="0"/>
    <w:pPr>
      <w:jc w:val="left"/>
    </w:pPr>
    <w:rPr>
      <w:kern w:val="0"/>
      <w:sz w:val="24"/>
      <w:szCs w:val="20"/>
    </w:rPr>
  </w:style>
  <w:style w:type="paragraph" w:styleId="10">
    <w:name w:val="Body Text"/>
    <w:basedOn w:val="1"/>
    <w:next w:val="1"/>
    <w:link w:val="31"/>
    <w:qFormat/>
    <w:uiPriority w:val="0"/>
    <w:pPr>
      <w:widowControl/>
      <w:snapToGrid w:val="0"/>
      <w:spacing w:before="60" w:after="160" w:line="259" w:lineRule="auto"/>
      <w:ind w:right="113"/>
    </w:pPr>
    <w:rPr>
      <w:kern w:val="0"/>
      <w:sz w:val="18"/>
      <w:szCs w:val="20"/>
    </w:rPr>
  </w:style>
  <w:style w:type="paragraph" w:styleId="11">
    <w:name w:val="Block Text"/>
    <w:basedOn w:val="1"/>
    <w:next w:val="1"/>
    <w:qFormat/>
    <w:locked/>
    <w:uiPriority w:val="0"/>
    <w:pPr>
      <w:adjustRightInd w:val="0"/>
      <w:spacing w:before="120" w:line="440" w:lineRule="exact"/>
      <w:ind w:left="284" w:right="284" w:firstLine="567"/>
      <w:textAlignment w:val="baseline"/>
    </w:pPr>
    <w:rPr>
      <w:rFonts w:ascii="楷体_GB2312" w:eastAsia="楷体_GB2312"/>
      <w:spacing w:val="-2"/>
      <w:kern w:val="0"/>
      <w:sz w:val="28"/>
      <w:szCs w:val="20"/>
    </w:rPr>
  </w:style>
  <w:style w:type="paragraph" w:styleId="12">
    <w:name w:val="Plain Text"/>
    <w:basedOn w:val="1"/>
    <w:qFormat/>
    <w:locked/>
    <w:uiPriority w:val="0"/>
    <w:pPr>
      <w:snapToGrid w:val="0"/>
      <w:spacing w:line="520" w:lineRule="atLeast"/>
      <w:ind w:firstLine="420"/>
    </w:pPr>
    <w:rPr>
      <w:rFonts w:ascii="宋体" w:hAnsi="Courier New"/>
      <w:sz w:val="28"/>
    </w:rPr>
  </w:style>
  <w:style w:type="paragraph" w:styleId="13">
    <w:name w:val="Date"/>
    <w:basedOn w:val="1"/>
    <w:next w:val="1"/>
    <w:link w:val="32"/>
    <w:qFormat/>
    <w:uiPriority w:val="0"/>
    <w:pPr>
      <w:ind w:left="100" w:leftChars="2500"/>
    </w:pPr>
    <w:rPr>
      <w:kern w:val="0"/>
      <w:sz w:val="24"/>
      <w:szCs w:val="20"/>
    </w:rPr>
  </w:style>
  <w:style w:type="paragraph" w:styleId="14">
    <w:name w:val="Balloon Text"/>
    <w:basedOn w:val="1"/>
    <w:link w:val="33"/>
    <w:semiHidden/>
    <w:qFormat/>
    <w:uiPriority w:val="0"/>
    <w:rPr>
      <w:kern w:val="0"/>
      <w:sz w:val="18"/>
      <w:szCs w:val="20"/>
    </w:rPr>
  </w:style>
  <w:style w:type="paragraph" w:styleId="15">
    <w:name w:val="footer"/>
    <w:basedOn w:val="1"/>
    <w:link w:val="34"/>
    <w:qFormat/>
    <w:uiPriority w:val="99"/>
    <w:pPr>
      <w:tabs>
        <w:tab w:val="center" w:pos="4153"/>
        <w:tab w:val="right" w:pos="8306"/>
      </w:tabs>
      <w:snapToGrid w:val="0"/>
      <w:jc w:val="left"/>
    </w:pPr>
    <w:rPr>
      <w:kern w:val="0"/>
      <w:sz w:val="18"/>
      <w:szCs w:val="20"/>
    </w:rPr>
  </w:style>
  <w:style w:type="paragraph" w:styleId="16">
    <w:name w:val="header"/>
    <w:basedOn w:val="1"/>
    <w:link w:val="35"/>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List"/>
    <w:basedOn w:val="1"/>
    <w:unhideWhenUsed/>
    <w:qFormat/>
    <w:locked/>
    <w:uiPriority w:val="99"/>
    <w:pPr>
      <w:spacing w:before="20" w:after="20"/>
      <w:jc w:val="center"/>
    </w:pPr>
    <w:rPr>
      <w:sz w:val="24"/>
      <w:szCs w:val="20"/>
    </w:rPr>
  </w:style>
  <w:style w:type="paragraph" w:styleId="18">
    <w:name w:val="table of figures"/>
    <w:basedOn w:val="1"/>
    <w:next w:val="1"/>
    <w:semiHidden/>
    <w:qFormat/>
    <w:locked/>
    <w:uiPriority w:val="0"/>
    <w:pPr>
      <w:spacing w:before="50" w:beforeLines="50" w:after="50" w:afterLines="50"/>
      <w:jc w:val="center"/>
    </w:pPr>
    <w:rPr>
      <w:b/>
      <w:sz w:val="28"/>
    </w:rPr>
  </w:style>
  <w:style w:type="paragraph" w:styleId="19">
    <w:name w:val="toc 2"/>
    <w:basedOn w:val="1"/>
    <w:next w:val="1"/>
    <w:qFormat/>
    <w:locked/>
    <w:uiPriority w:val="0"/>
    <w:pPr>
      <w:ind w:left="420" w:leftChars="200"/>
    </w:pPr>
  </w:style>
  <w:style w:type="paragraph" w:styleId="20">
    <w:name w:val="Normal (Web)"/>
    <w:basedOn w:val="1"/>
    <w:link w:val="36"/>
    <w:qFormat/>
    <w:uiPriority w:val="0"/>
    <w:pPr>
      <w:widowControl/>
      <w:spacing w:before="100" w:beforeAutospacing="1" w:after="100" w:afterAutospacing="1"/>
      <w:jc w:val="left"/>
    </w:pPr>
    <w:rPr>
      <w:rFonts w:ascii="宋体" w:hAnsi="宋体"/>
      <w:kern w:val="0"/>
      <w:sz w:val="24"/>
      <w:szCs w:val="20"/>
    </w:rPr>
  </w:style>
  <w:style w:type="paragraph" w:styleId="21">
    <w:name w:val="annotation subject"/>
    <w:basedOn w:val="9"/>
    <w:next w:val="9"/>
    <w:link w:val="37"/>
    <w:semiHidden/>
    <w:qFormat/>
    <w:uiPriority w:val="0"/>
    <w:rPr>
      <w:b/>
      <w:sz w:val="24"/>
      <w:szCs w:val="20"/>
    </w:rPr>
  </w:style>
  <w:style w:type="paragraph" w:styleId="22">
    <w:name w:val="Body Text First Indent"/>
    <w:basedOn w:val="10"/>
    <w:next w:val="18"/>
    <w:unhideWhenUsed/>
    <w:qFormat/>
    <w:locked/>
    <w:uiPriority w:val="99"/>
    <w:pPr>
      <w:ind w:firstLine="100" w:firstLineChars="100"/>
    </w:pPr>
  </w:style>
  <w:style w:type="table" w:styleId="24">
    <w:name w:val="Table Grid"/>
    <w:basedOn w:val="2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locked/>
    <w:uiPriority w:val="0"/>
    <w:rPr>
      <w:b/>
      <w:bCs/>
    </w:rPr>
  </w:style>
  <w:style w:type="character" w:styleId="27">
    <w:name w:val="page number"/>
    <w:qFormat/>
    <w:locked/>
    <w:uiPriority w:val="0"/>
  </w:style>
  <w:style w:type="character" w:styleId="28">
    <w:name w:val="annotation reference"/>
    <w:semiHidden/>
    <w:qFormat/>
    <w:uiPriority w:val="0"/>
    <w:rPr>
      <w:sz w:val="21"/>
    </w:rPr>
  </w:style>
  <w:style w:type="character" w:customStyle="1" w:styleId="29">
    <w:name w:val="正文文本缩进 字符"/>
    <w:link w:val="8"/>
    <w:semiHidden/>
    <w:qFormat/>
    <w:locked/>
    <w:uiPriority w:val="0"/>
    <w:rPr>
      <w:rFonts w:ascii="Times New Roman" w:hAnsi="Times New Roman" w:eastAsia="宋体"/>
      <w:sz w:val="24"/>
    </w:rPr>
  </w:style>
  <w:style w:type="character" w:customStyle="1" w:styleId="30">
    <w:name w:val="批注文字 字符"/>
    <w:link w:val="9"/>
    <w:qFormat/>
    <w:locked/>
    <w:uiPriority w:val="0"/>
    <w:rPr>
      <w:rFonts w:ascii="Times New Roman" w:hAnsi="Times New Roman" w:eastAsia="宋体"/>
      <w:sz w:val="24"/>
    </w:rPr>
  </w:style>
  <w:style w:type="character" w:customStyle="1" w:styleId="31">
    <w:name w:val="正文文本 字符"/>
    <w:link w:val="10"/>
    <w:qFormat/>
    <w:locked/>
    <w:uiPriority w:val="0"/>
    <w:rPr>
      <w:sz w:val="18"/>
    </w:rPr>
  </w:style>
  <w:style w:type="character" w:customStyle="1" w:styleId="32">
    <w:name w:val="日期 字符1"/>
    <w:link w:val="13"/>
    <w:qFormat/>
    <w:locked/>
    <w:uiPriority w:val="0"/>
    <w:rPr>
      <w:rFonts w:ascii="Times New Roman" w:hAnsi="Times New Roman" w:eastAsia="宋体"/>
      <w:sz w:val="24"/>
    </w:rPr>
  </w:style>
  <w:style w:type="character" w:customStyle="1" w:styleId="33">
    <w:name w:val="批注框文本 字符"/>
    <w:link w:val="14"/>
    <w:semiHidden/>
    <w:qFormat/>
    <w:locked/>
    <w:uiPriority w:val="0"/>
    <w:rPr>
      <w:rFonts w:ascii="Times New Roman" w:hAnsi="Times New Roman" w:eastAsia="宋体"/>
      <w:sz w:val="18"/>
    </w:rPr>
  </w:style>
  <w:style w:type="character" w:customStyle="1" w:styleId="34">
    <w:name w:val="页脚 字符1"/>
    <w:link w:val="15"/>
    <w:qFormat/>
    <w:locked/>
    <w:uiPriority w:val="99"/>
    <w:rPr>
      <w:sz w:val="18"/>
    </w:rPr>
  </w:style>
  <w:style w:type="character" w:customStyle="1" w:styleId="35">
    <w:name w:val="页眉 字符"/>
    <w:link w:val="16"/>
    <w:qFormat/>
    <w:locked/>
    <w:uiPriority w:val="0"/>
    <w:rPr>
      <w:sz w:val="18"/>
    </w:rPr>
  </w:style>
  <w:style w:type="character" w:customStyle="1" w:styleId="36">
    <w:name w:val="普通(网站) 字符"/>
    <w:link w:val="20"/>
    <w:qFormat/>
    <w:locked/>
    <w:uiPriority w:val="0"/>
    <w:rPr>
      <w:rFonts w:ascii="宋体" w:hAnsi="宋体" w:eastAsia="宋体"/>
      <w:sz w:val="24"/>
    </w:rPr>
  </w:style>
  <w:style w:type="character" w:customStyle="1" w:styleId="37">
    <w:name w:val="批注主题 字符"/>
    <w:link w:val="21"/>
    <w:semiHidden/>
    <w:qFormat/>
    <w:locked/>
    <w:uiPriority w:val="0"/>
    <w:rPr>
      <w:rFonts w:ascii="Times New Roman" w:hAnsi="Times New Roman" w:eastAsia="宋体"/>
      <w:b/>
      <w:kern w:val="2"/>
      <w:sz w:val="24"/>
    </w:rPr>
  </w:style>
  <w:style w:type="paragraph" w:customStyle="1" w:styleId="38">
    <w:name w:val="表格标题"/>
    <w:basedOn w:val="1"/>
    <w:next w:val="1"/>
    <w:link w:val="40"/>
    <w:qFormat/>
    <w:uiPriority w:val="0"/>
    <w:pPr>
      <w:adjustRightInd w:val="0"/>
      <w:spacing w:line="240" w:lineRule="auto"/>
      <w:ind w:firstLine="0" w:firstLineChars="0"/>
      <w:jc w:val="center"/>
    </w:pPr>
    <w:rPr>
      <w:rFonts w:ascii="Times New Roman" w:hAnsi="Times New Roman" w:eastAsia="宋体"/>
      <w:b/>
      <w:kern w:val="0"/>
      <w:szCs w:val="28"/>
    </w:rPr>
  </w:style>
  <w:style w:type="paragraph" w:customStyle="1" w:styleId="39">
    <w:name w:val="表格文字"/>
    <w:next w:val="1"/>
    <w:qFormat/>
    <w:uiPriority w:val="0"/>
    <w:pPr>
      <w:spacing w:line="240" w:lineRule="auto"/>
      <w:ind w:firstLine="0" w:firstLineChars="0"/>
      <w:jc w:val="center"/>
    </w:pPr>
    <w:rPr>
      <w:rFonts w:ascii="Times New Roman" w:hAnsi="Times New Roman" w:eastAsia="宋体" w:cs="Times New Roman"/>
      <w:sz w:val="21"/>
    </w:rPr>
  </w:style>
  <w:style w:type="character" w:customStyle="1" w:styleId="40">
    <w:name w:val="表格标题 Char"/>
    <w:link w:val="38"/>
    <w:qFormat/>
    <w:uiPriority w:val="0"/>
    <w:rPr>
      <w:rFonts w:ascii="Times New Roman" w:hAnsi="Times New Roman" w:eastAsia="宋体"/>
      <w:b/>
      <w:kern w:val="0"/>
      <w:szCs w:val="28"/>
    </w:rPr>
  </w:style>
  <w:style w:type="paragraph" w:customStyle="1" w:styleId="41">
    <w:name w:val="表格"/>
    <w:basedOn w:val="1"/>
    <w:next w:val="1"/>
    <w:qFormat/>
    <w:uiPriority w:val="0"/>
    <w:pPr>
      <w:spacing w:line="240" w:lineRule="auto"/>
      <w:ind w:firstLine="0" w:firstLineChars="0"/>
      <w:jc w:val="center"/>
    </w:pPr>
    <w:rPr>
      <w:sz w:val="21"/>
    </w:rPr>
  </w:style>
  <w:style w:type="character" w:customStyle="1" w:styleId="42">
    <w:name w:val="fontstyle01"/>
    <w:basedOn w:val="25"/>
    <w:qFormat/>
    <w:uiPriority w:val="0"/>
    <w:rPr>
      <w:rFonts w:ascii="仿宋" w:hAnsi="仿宋" w:eastAsia="仿宋" w:cs="仿宋"/>
      <w:color w:val="000000"/>
      <w:sz w:val="30"/>
      <w:szCs w:val="30"/>
    </w:rPr>
  </w:style>
  <w:style w:type="paragraph" w:customStyle="1" w:styleId="43">
    <w:name w:val="Default"/>
    <w:basedOn w:val="44"/>
    <w:next w:val="45"/>
    <w:unhideWhenUsed/>
    <w:qFormat/>
    <w:uiPriority w:val="99"/>
    <w:pPr>
      <w:widowControl w:val="0"/>
      <w:autoSpaceDE w:val="0"/>
      <w:autoSpaceDN w:val="0"/>
      <w:adjustRightInd w:val="0"/>
    </w:pPr>
    <w:rPr>
      <w:rFonts w:ascii="仿宋" w:hAnsi="仿宋" w:eastAsia="仿宋"/>
      <w:color w:val="000000"/>
      <w:sz w:val="24"/>
      <w:lang w:val="en-US" w:eastAsia="zh-CN" w:bidi="ar-SA"/>
    </w:rPr>
  </w:style>
  <w:style w:type="paragraph" w:customStyle="1" w:styleId="44">
    <w:name w:val="纯文本1"/>
    <w:basedOn w:val="1"/>
    <w:qFormat/>
    <w:uiPriority w:val="99"/>
    <w:pPr>
      <w:adjustRightInd w:val="0"/>
      <w:textAlignment w:val="baseline"/>
    </w:pPr>
    <w:rPr>
      <w:szCs w:val="20"/>
    </w:rPr>
  </w:style>
  <w:style w:type="paragraph" w:customStyle="1" w:styleId="45">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3.pn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wmf"/><Relationship Id="rId17" Type="http://schemas.openxmlformats.org/officeDocument/2006/relationships/oleObject" Target="embeddings/oleObject2.bin"/><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emf"/><Relationship Id="rId12" Type="http://schemas.openxmlformats.org/officeDocument/2006/relationships/oleObject" Target="embeddings/oleObject1.bin"/><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56</Pages>
  <Words>20215</Words>
  <Characters>23280</Characters>
  <Lines>258</Lines>
  <Paragraphs>72</Paragraphs>
  <TotalTime>4</TotalTime>
  <ScaleCrop>false</ScaleCrop>
  <LinksUpToDate>false</LinksUpToDate>
  <CharactersWithSpaces>23374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朱得食</cp:lastModifiedBy>
  <cp:lastPrinted>2022-07-25T06:36:00Z</cp:lastPrinted>
  <dcterms:modified xsi:type="dcterms:W3CDTF">2023-03-23T08:22:31Z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AD656C2B7AA74409AF64615174DA5736</vt:lpwstr>
  </property>
</Properties>
</file>