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0"/>
        <w:rPr>
          <w:rFonts w:eastAsiaTheme="minorEastAsia"/>
          <w:sz w:val="36"/>
          <w:szCs w:val="36"/>
        </w:rPr>
      </w:pPr>
    </w:p>
    <w:p>
      <w:pPr>
        <w:ind w:firstLine="720"/>
        <w:rPr>
          <w:rFonts w:eastAsiaTheme="minorEastAsia"/>
          <w:sz w:val="36"/>
          <w:szCs w:val="36"/>
        </w:rPr>
      </w:pPr>
    </w:p>
    <w:p>
      <w:pPr>
        <w:ind w:firstLine="720"/>
        <w:rPr>
          <w:rFonts w:eastAsiaTheme="minorEastAsia"/>
          <w:sz w:val="36"/>
          <w:szCs w:val="36"/>
        </w:rPr>
      </w:pPr>
    </w:p>
    <w:p>
      <w:pPr>
        <w:adjustRightInd w:val="0"/>
        <w:snapToGrid w:val="0"/>
        <w:jc w:val="center"/>
        <w:outlineLvl w:val="0"/>
        <w:rPr>
          <w:rFonts w:eastAsiaTheme="minorEastAsia"/>
          <w:bCs/>
          <w:sz w:val="72"/>
          <w:szCs w:val="72"/>
        </w:rPr>
      </w:pPr>
      <w:r>
        <w:rPr>
          <w:rFonts w:eastAsiaTheme="minorEastAsia"/>
          <w:bCs/>
          <w:sz w:val="72"/>
          <w:szCs w:val="72"/>
        </w:rPr>
        <w:t>建设项目环境影响报告表</w:t>
      </w:r>
    </w:p>
    <w:p>
      <w:pPr>
        <w:adjustRightInd w:val="0"/>
        <w:snapToGrid w:val="0"/>
        <w:spacing w:beforeLines="80"/>
        <w:jc w:val="center"/>
        <w:rPr>
          <w:rFonts w:eastAsiaTheme="minorEastAsia"/>
          <w:bCs/>
          <w:sz w:val="48"/>
          <w:szCs w:val="48"/>
        </w:rPr>
      </w:pPr>
      <w:r>
        <w:rPr>
          <w:rFonts w:eastAsiaTheme="minorEastAsia"/>
          <w:bCs/>
          <w:sz w:val="48"/>
          <w:szCs w:val="48"/>
        </w:rPr>
        <w:t>（污染影响类）</w:t>
      </w:r>
    </w:p>
    <w:p>
      <w:pPr>
        <w:adjustRightInd w:val="0"/>
        <w:snapToGrid w:val="0"/>
        <w:spacing w:line="288" w:lineRule="auto"/>
        <w:ind w:firstLine="880"/>
        <w:jc w:val="center"/>
        <w:outlineLvl w:val="0"/>
        <w:rPr>
          <w:rFonts w:eastAsiaTheme="minorEastAsia"/>
          <w:kern w:val="44"/>
          <w:sz w:val="44"/>
          <w:szCs w:val="44"/>
        </w:rPr>
      </w:pPr>
    </w:p>
    <w:p>
      <w:pPr>
        <w:ind w:firstLine="1040"/>
        <w:jc w:val="center"/>
        <w:rPr>
          <w:rFonts w:eastAsiaTheme="minorEastAsia"/>
          <w:sz w:val="52"/>
          <w:szCs w:val="52"/>
        </w:rPr>
      </w:pPr>
    </w:p>
    <w:p>
      <w:pPr>
        <w:ind w:firstLine="1040"/>
        <w:jc w:val="center"/>
        <w:rPr>
          <w:rFonts w:eastAsiaTheme="minorEastAsia"/>
          <w:sz w:val="52"/>
          <w:szCs w:val="52"/>
        </w:rPr>
      </w:pPr>
    </w:p>
    <w:p>
      <w:pPr>
        <w:ind w:firstLine="1040"/>
        <w:jc w:val="center"/>
        <w:rPr>
          <w:rFonts w:eastAsiaTheme="minorEastAsia"/>
          <w:sz w:val="52"/>
          <w:szCs w:val="52"/>
        </w:rPr>
      </w:pPr>
    </w:p>
    <w:p>
      <w:pPr>
        <w:ind w:firstLine="1040"/>
        <w:jc w:val="center"/>
        <w:rPr>
          <w:rFonts w:eastAsiaTheme="minorEastAsia"/>
          <w:sz w:val="52"/>
          <w:szCs w:val="52"/>
        </w:rPr>
      </w:pPr>
    </w:p>
    <w:p>
      <w:pPr>
        <w:ind w:firstLine="1040"/>
        <w:jc w:val="center"/>
        <w:rPr>
          <w:rFonts w:eastAsiaTheme="minorEastAsia"/>
          <w:sz w:val="52"/>
          <w:szCs w:val="52"/>
        </w:rPr>
      </w:pPr>
    </w:p>
    <w:p>
      <w:pPr>
        <w:ind w:firstLine="880"/>
        <w:rPr>
          <w:rFonts w:eastAsiaTheme="minorEastAsia"/>
          <w:sz w:val="44"/>
          <w:szCs w:val="44"/>
        </w:rPr>
      </w:pPr>
    </w:p>
    <w:p>
      <w:pPr>
        <w:ind w:firstLine="880"/>
        <w:rPr>
          <w:rFonts w:eastAsiaTheme="minorEastAsia"/>
          <w:sz w:val="44"/>
          <w:szCs w:val="44"/>
        </w:rPr>
      </w:pPr>
    </w:p>
    <w:p>
      <w:pPr>
        <w:adjustRightInd w:val="0"/>
        <w:snapToGrid w:val="0"/>
        <w:spacing w:line="288" w:lineRule="auto"/>
        <w:ind w:left="2520" w:leftChars="367" w:hanging="1749" w:hangingChars="486"/>
        <w:rPr>
          <w:rFonts w:eastAsiaTheme="minorEastAsia"/>
          <w:sz w:val="36"/>
          <w:szCs w:val="36"/>
          <w:u w:val="single"/>
        </w:rPr>
      </w:pPr>
      <w:r>
        <w:rPr>
          <w:rFonts w:eastAsiaTheme="minorEastAsia"/>
          <w:sz w:val="36"/>
          <w:szCs w:val="36"/>
        </w:rPr>
        <w:t>项目名称：</w:t>
      </w:r>
      <w:r>
        <w:rPr>
          <w:rFonts w:eastAsiaTheme="minorEastAsia"/>
          <w:bCs/>
          <w:sz w:val="36"/>
          <w:szCs w:val="36"/>
          <w:u w:val="single"/>
        </w:rPr>
        <w:t xml:space="preserve">中央储备粮巴彦淖尔直属库有限公司五原分公司粮食仓储项目                 </w:t>
      </w:r>
    </w:p>
    <w:p>
      <w:pPr>
        <w:adjustRightInd w:val="0"/>
        <w:snapToGrid w:val="0"/>
        <w:spacing w:line="288" w:lineRule="auto"/>
        <w:ind w:left="2520" w:leftChars="343" w:hanging="1800" w:hangingChars="500"/>
        <w:rPr>
          <w:rFonts w:eastAsiaTheme="minorEastAsia"/>
          <w:sz w:val="36"/>
          <w:szCs w:val="36"/>
          <w:u w:val="single"/>
        </w:rPr>
      </w:pPr>
      <w:r>
        <w:rPr>
          <w:rFonts w:eastAsiaTheme="minorEastAsia"/>
          <w:sz w:val="36"/>
          <w:szCs w:val="36"/>
        </w:rPr>
        <w:t>建设单位（盖章）：</w:t>
      </w:r>
      <w:r>
        <w:rPr>
          <w:rFonts w:eastAsiaTheme="minorEastAsia"/>
          <w:bCs/>
          <w:sz w:val="36"/>
          <w:szCs w:val="36"/>
          <w:u w:val="single"/>
        </w:rPr>
        <w:t>中央储备粮巴彦淖尔直属库有限公司</w:t>
      </w:r>
      <w:r>
        <w:rPr>
          <w:rFonts w:hint="eastAsia" w:eastAsiaTheme="minorEastAsia"/>
          <w:bCs/>
          <w:sz w:val="36"/>
          <w:szCs w:val="36"/>
          <w:u w:val="single"/>
        </w:rPr>
        <w:t xml:space="preserve">                             </w:t>
      </w:r>
      <w:r>
        <w:rPr>
          <w:rFonts w:eastAsiaTheme="minorEastAsia"/>
          <w:bCs/>
          <w:sz w:val="36"/>
          <w:szCs w:val="36"/>
          <w:u w:val="single"/>
        </w:rPr>
        <w:t xml:space="preserve">  </w:t>
      </w:r>
    </w:p>
    <w:p>
      <w:pPr>
        <w:adjustRightInd w:val="0"/>
        <w:snapToGrid w:val="0"/>
        <w:spacing w:line="288" w:lineRule="auto"/>
        <w:ind w:firstLine="720"/>
        <w:rPr>
          <w:rFonts w:eastAsiaTheme="minorEastAsia"/>
          <w:sz w:val="36"/>
          <w:szCs w:val="36"/>
          <w:u w:val="single"/>
        </w:rPr>
      </w:pPr>
      <w:r>
        <w:rPr>
          <w:rFonts w:eastAsiaTheme="minorEastAsia"/>
          <w:sz w:val="36"/>
          <w:szCs w:val="36"/>
        </w:rPr>
        <w:t>编制日期：</w:t>
      </w:r>
      <w:r>
        <w:rPr>
          <w:rFonts w:eastAsiaTheme="minorEastAsia"/>
          <w:sz w:val="36"/>
          <w:szCs w:val="36"/>
          <w:u w:val="single"/>
        </w:rPr>
        <w:t xml:space="preserve">  2023年</w:t>
      </w:r>
      <w:r>
        <w:rPr>
          <w:rFonts w:hint="eastAsia" w:eastAsiaTheme="minorEastAsia"/>
          <w:sz w:val="36"/>
          <w:szCs w:val="36"/>
          <w:u w:val="single"/>
          <w:lang w:val="en-US" w:eastAsia="zh-CN"/>
        </w:rPr>
        <w:t>3</w:t>
      </w:r>
      <w:r>
        <w:rPr>
          <w:rFonts w:eastAsiaTheme="minorEastAsia"/>
          <w:sz w:val="36"/>
          <w:szCs w:val="36"/>
          <w:u w:val="single"/>
        </w:rPr>
        <w:t xml:space="preserve">月                     </w:t>
      </w:r>
      <w:bookmarkStart w:id="0" w:name="_Hlk57884087"/>
      <w:r>
        <w:rPr>
          <w:rFonts w:eastAsiaTheme="minorEastAsia"/>
          <w:sz w:val="36"/>
          <w:szCs w:val="36"/>
          <w:u w:val="single"/>
        </w:rPr>
        <w:t xml:space="preserve"> </w:t>
      </w:r>
    </w:p>
    <w:p>
      <w:pPr>
        <w:adjustRightInd w:val="0"/>
        <w:snapToGrid w:val="0"/>
        <w:spacing w:line="288" w:lineRule="auto"/>
        <w:ind w:firstLine="720"/>
        <w:rPr>
          <w:rFonts w:eastAsiaTheme="minorEastAsia"/>
          <w:sz w:val="36"/>
          <w:szCs w:val="36"/>
          <w:u w:val="single"/>
        </w:rPr>
      </w:pPr>
    </w:p>
    <w:p>
      <w:pPr>
        <w:adjustRightInd w:val="0"/>
        <w:snapToGrid w:val="0"/>
        <w:spacing w:line="288" w:lineRule="auto"/>
        <w:ind w:firstLine="720"/>
        <w:rPr>
          <w:rFonts w:eastAsiaTheme="minorEastAsia"/>
          <w:sz w:val="36"/>
          <w:szCs w:val="36"/>
          <w:u w:val="single"/>
        </w:rPr>
      </w:pPr>
    </w:p>
    <w:bookmarkEnd w:id="0"/>
    <w:p>
      <w:pPr>
        <w:adjustRightInd w:val="0"/>
        <w:snapToGrid w:val="0"/>
        <w:spacing w:line="288" w:lineRule="auto"/>
        <w:ind w:firstLine="720"/>
        <w:jc w:val="center"/>
        <w:rPr>
          <w:rFonts w:eastAsiaTheme="minorEastAsia"/>
          <w:sz w:val="36"/>
          <w:szCs w:val="36"/>
        </w:rPr>
      </w:pPr>
      <w:r>
        <w:rPr>
          <w:rFonts w:eastAsiaTheme="minorEastAsia"/>
          <w:sz w:val="36"/>
          <w:szCs w:val="36"/>
        </w:rPr>
        <w:t>中华人民共和国生态环境部制</w:t>
      </w:r>
      <w:r>
        <w:rPr>
          <w:rFonts w:eastAsiaTheme="minorEastAsia"/>
          <w:sz w:val="36"/>
          <w:szCs w:val="36"/>
        </w:rPr>
        <w:br w:type="page"/>
      </w:r>
    </w:p>
    <w:p>
      <w:pPr>
        <w:adjustRightInd w:val="0"/>
        <w:snapToGrid w:val="0"/>
        <w:spacing w:line="288" w:lineRule="auto"/>
        <w:ind w:firstLine="720"/>
        <w:rPr>
          <w:rFonts w:eastAsiaTheme="minorEastAsia"/>
          <w:sz w:val="36"/>
          <w:szCs w:val="36"/>
        </w:rPr>
        <w:sectPr>
          <w:footerReference r:id="rId5" w:type="default"/>
          <w:footerReference r:id="rId6" w:type="even"/>
          <w:pgSz w:w="11906" w:h="16838"/>
          <w:pgMar w:top="1701" w:right="1531" w:bottom="1701" w:left="1531" w:header="851" w:footer="1077" w:gutter="0"/>
          <w:pgNumType w:start="3"/>
          <w:cols w:space="720" w:num="1"/>
          <w:docGrid w:linePitch="312" w:charSpace="0"/>
        </w:sectPr>
      </w:pPr>
    </w:p>
    <w:p>
      <w:pPr>
        <w:pStyle w:val="14"/>
        <w:keepNext w:val="0"/>
        <w:keepLines w:val="0"/>
        <w:pageBreakBefore w:val="0"/>
        <w:widowControl/>
        <w:kinsoku/>
        <w:wordWrap/>
        <w:overflowPunct/>
        <w:topLinePunct w:val="0"/>
        <w:autoSpaceDE/>
        <w:autoSpaceDN/>
        <w:bidi w:val="0"/>
        <w:adjustRightInd/>
        <w:snapToGrid/>
        <w:ind w:firstLine="0"/>
        <w:jc w:val="center"/>
        <w:textAlignment w:val="auto"/>
        <w:outlineLvl w:val="0"/>
        <w:rPr>
          <w:rFonts w:ascii="Times New Roman" w:hAnsi="Times New Roman" w:eastAsiaTheme="minorEastAsia"/>
          <w:snapToGrid w:val="0"/>
          <w:sz w:val="30"/>
          <w:szCs w:val="30"/>
        </w:rPr>
      </w:pPr>
      <w:r>
        <w:rPr>
          <w:rFonts w:ascii="Times New Roman" w:hAnsi="Times New Roman" w:eastAsiaTheme="minorEastAsia"/>
          <w:snapToGrid w:val="0"/>
          <w:sz w:val="30"/>
          <w:szCs w:val="30"/>
        </w:rPr>
        <w:t>一、建设项目基本情况</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998"/>
        <w:gridCol w:w="2021"/>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8" w:type="dxa"/>
            <w:tcMar>
              <w:top w:w="16" w:type="dxa"/>
              <w:left w:w="16" w:type="dxa"/>
              <w:right w:w="16" w:type="dxa"/>
            </w:tcMar>
            <w:vAlign w:val="center"/>
          </w:tcPr>
          <w:p>
            <w:pPr>
              <w:adjustRightInd w:val="0"/>
              <w:snapToGrid w:val="0"/>
              <w:jc w:val="center"/>
              <w:rPr>
                <w:rFonts w:eastAsiaTheme="minorEastAsia"/>
                <w:szCs w:val="21"/>
              </w:rPr>
            </w:pPr>
            <w:r>
              <w:rPr>
                <w:rFonts w:eastAsiaTheme="minorEastAsia"/>
                <w:szCs w:val="21"/>
              </w:rPr>
              <w:t>建设项目名称</w:t>
            </w:r>
          </w:p>
        </w:tc>
        <w:tc>
          <w:tcPr>
            <w:tcW w:w="6872" w:type="dxa"/>
            <w:gridSpan w:val="3"/>
            <w:vAlign w:val="center"/>
          </w:tcPr>
          <w:p>
            <w:pPr>
              <w:adjustRightInd w:val="0"/>
              <w:snapToGrid w:val="0"/>
              <w:jc w:val="center"/>
              <w:rPr>
                <w:rFonts w:eastAsiaTheme="minorEastAsia"/>
                <w:szCs w:val="21"/>
                <w:u w:val="single"/>
              </w:rPr>
            </w:pPr>
            <w:r>
              <w:rPr>
                <w:rFonts w:eastAsiaTheme="minorEastAsia"/>
                <w:bCs/>
                <w:szCs w:val="21"/>
                <w:u w:val="none"/>
              </w:rPr>
              <w:t>中央储备粮巴彦淖尔直属库有限公司五原分公司粮食仓储项目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8" w:type="dxa"/>
            <w:tcMar>
              <w:top w:w="16" w:type="dxa"/>
              <w:left w:w="16" w:type="dxa"/>
              <w:right w:w="16" w:type="dxa"/>
            </w:tcMar>
            <w:vAlign w:val="center"/>
          </w:tcPr>
          <w:p>
            <w:pPr>
              <w:adjustRightInd w:val="0"/>
              <w:snapToGrid w:val="0"/>
              <w:jc w:val="center"/>
              <w:rPr>
                <w:rFonts w:eastAsiaTheme="minorEastAsia"/>
                <w:szCs w:val="21"/>
              </w:rPr>
            </w:pPr>
            <w:r>
              <w:rPr>
                <w:rFonts w:eastAsiaTheme="minorEastAsia"/>
                <w:szCs w:val="21"/>
              </w:rPr>
              <w:t>项目代码</w:t>
            </w:r>
          </w:p>
        </w:tc>
        <w:tc>
          <w:tcPr>
            <w:tcW w:w="6872" w:type="dxa"/>
            <w:gridSpan w:val="3"/>
            <w:vAlign w:val="center"/>
          </w:tcPr>
          <w:p>
            <w:pPr>
              <w:adjustRightInd w:val="0"/>
              <w:snapToGrid w:val="0"/>
              <w:jc w:val="center"/>
              <w:rPr>
                <w:rFonts w:eastAsiaTheme="minorEastAsia"/>
                <w:szCs w:val="21"/>
              </w:rPr>
            </w:pPr>
            <w:r>
              <w:rPr>
                <w:rFonts w:eastAsiaTheme="minorEastAsia"/>
                <w:szCs w:val="21"/>
              </w:rPr>
              <w:t>2111-150821-04-01-263700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8" w:type="dxa"/>
            <w:tcMar>
              <w:top w:w="16" w:type="dxa"/>
              <w:left w:w="16" w:type="dxa"/>
              <w:right w:w="16" w:type="dxa"/>
            </w:tcMar>
            <w:vAlign w:val="center"/>
          </w:tcPr>
          <w:p>
            <w:pPr>
              <w:adjustRightInd w:val="0"/>
              <w:snapToGrid w:val="0"/>
              <w:jc w:val="center"/>
              <w:rPr>
                <w:rFonts w:eastAsiaTheme="minorEastAsia"/>
                <w:szCs w:val="21"/>
              </w:rPr>
            </w:pPr>
            <w:r>
              <w:rPr>
                <w:rFonts w:eastAsiaTheme="minorEastAsia"/>
                <w:szCs w:val="21"/>
              </w:rPr>
              <w:t>建设单位联系人</w:t>
            </w:r>
          </w:p>
        </w:tc>
        <w:tc>
          <w:tcPr>
            <w:tcW w:w="2021" w:type="dxa"/>
            <w:vAlign w:val="center"/>
          </w:tcPr>
          <w:p>
            <w:pPr>
              <w:adjustRightInd w:val="0"/>
              <w:snapToGrid w:val="0"/>
              <w:jc w:val="center"/>
              <w:rPr>
                <w:rFonts w:eastAsiaTheme="minorEastAsia"/>
                <w:szCs w:val="21"/>
              </w:rPr>
            </w:pPr>
            <w:r>
              <w:rPr>
                <w:rFonts w:hint="eastAsia" w:eastAsiaTheme="minorEastAsia"/>
                <w:szCs w:val="21"/>
              </w:rPr>
              <w:t>项巍</w:t>
            </w:r>
          </w:p>
        </w:tc>
        <w:tc>
          <w:tcPr>
            <w:tcW w:w="2212" w:type="dxa"/>
            <w:vAlign w:val="center"/>
          </w:tcPr>
          <w:p>
            <w:pPr>
              <w:adjustRightInd w:val="0"/>
              <w:snapToGrid w:val="0"/>
              <w:jc w:val="center"/>
              <w:rPr>
                <w:rFonts w:eastAsiaTheme="minorEastAsia"/>
                <w:szCs w:val="21"/>
              </w:rPr>
            </w:pPr>
            <w:r>
              <w:rPr>
                <w:rFonts w:eastAsiaTheme="minorEastAsia"/>
                <w:szCs w:val="21"/>
              </w:rPr>
              <w:t>联系方式</w:t>
            </w:r>
          </w:p>
        </w:tc>
        <w:tc>
          <w:tcPr>
            <w:tcW w:w="2639" w:type="dxa"/>
            <w:vAlign w:val="center"/>
          </w:tcPr>
          <w:p>
            <w:pPr>
              <w:adjustRightInd w:val="0"/>
              <w:snapToGrid w:val="0"/>
              <w:jc w:val="center"/>
              <w:rPr>
                <w:rFonts w:eastAsiaTheme="minorEastAsia"/>
                <w:szCs w:val="21"/>
              </w:rPr>
            </w:pPr>
            <w:r>
              <w:rPr>
                <w:rFonts w:hint="eastAsia" w:eastAsiaTheme="minorEastAsia"/>
                <w:szCs w:val="21"/>
              </w:rPr>
              <w:t>15847808848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8" w:type="dxa"/>
            <w:tcMar>
              <w:top w:w="16" w:type="dxa"/>
              <w:left w:w="16" w:type="dxa"/>
              <w:right w:w="16" w:type="dxa"/>
            </w:tcMar>
            <w:vAlign w:val="center"/>
          </w:tcPr>
          <w:p>
            <w:pPr>
              <w:adjustRightInd w:val="0"/>
              <w:snapToGrid w:val="0"/>
              <w:jc w:val="center"/>
              <w:rPr>
                <w:rFonts w:eastAsiaTheme="minorEastAsia"/>
                <w:szCs w:val="21"/>
              </w:rPr>
            </w:pPr>
            <w:r>
              <w:rPr>
                <w:rFonts w:eastAsiaTheme="minorEastAsia"/>
                <w:szCs w:val="21"/>
              </w:rPr>
              <w:t>建设地点</w:t>
            </w:r>
          </w:p>
        </w:tc>
        <w:tc>
          <w:tcPr>
            <w:tcW w:w="6872" w:type="dxa"/>
            <w:gridSpan w:val="3"/>
            <w:vAlign w:val="center"/>
          </w:tcPr>
          <w:p>
            <w:pPr>
              <w:adjustRightInd w:val="0"/>
              <w:snapToGrid w:val="0"/>
              <w:jc w:val="center"/>
              <w:rPr>
                <w:rFonts w:eastAsiaTheme="minorEastAsia"/>
                <w:szCs w:val="21"/>
              </w:rPr>
            </w:pPr>
            <w:r>
              <w:rPr>
                <w:rFonts w:eastAsiaTheme="minorEastAsia"/>
                <w:szCs w:val="21"/>
                <w:u w:val="single"/>
              </w:rPr>
              <w:t xml:space="preserve"> 内蒙古 </w:t>
            </w:r>
            <w:r>
              <w:rPr>
                <w:rFonts w:eastAsiaTheme="minorEastAsia"/>
                <w:szCs w:val="21"/>
              </w:rPr>
              <w:t>自治区</w:t>
            </w:r>
            <w:r>
              <w:rPr>
                <w:rFonts w:eastAsiaTheme="minorEastAsia"/>
                <w:szCs w:val="21"/>
                <w:u w:val="single"/>
              </w:rPr>
              <w:t xml:space="preserve"> </w:t>
            </w:r>
            <w:r>
              <w:rPr>
                <w:rFonts w:eastAsiaTheme="minorEastAsia"/>
                <w:bCs/>
                <w:szCs w:val="21"/>
                <w:u w:val="single"/>
              </w:rPr>
              <w:t>巴彦淖尔市</w:t>
            </w:r>
            <w:r>
              <w:rPr>
                <w:rFonts w:eastAsiaTheme="minorEastAsia"/>
                <w:szCs w:val="21"/>
              </w:rPr>
              <w:t xml:space="preserve"> </w:t>
            </w:r>
            <w:r>
              <w:rPr>
                <w:rFonts w:eastAsiaTheme="minorEastAsia"/>
                <w:bCs/>
                <w:szCs w:val="21"/>
                <w:u w:val="single"/>
              </w:rPr>
              <w:t>五原县</w:t>
            </w:r>
            <w:r>
              <w:rPr>
                <w:rFonts w:eastAsiaTheme="minorEastAsia"/>
                <w:szCs w:val="21"/>
                <w:u w:val="single"/>
              </w:rPr>
              <w:t xml:space="preserve">  </w:t>
            </w:r>
            <w:commentRangeStart w:id="0"/>
            <w:r>
              <w:rPr>
                <w:rFonts w:eastAsiaTheme="minorEastAsia"/>
                <w:color w:val="FF0000"/>
                <w:szCs w:val="21"/>
                <w:u w:val="single"/>
              </w:rPr>
              <w:t>胜丰</w:t>
            </w:r>
            <w:commentRangeEnd w:id="0"/>
            <w:r>
              <w:rPr>
                <w:color w:val="FF0000"/>
              </w:rPr>
              <w:commentReference w:id="0"/>
            </w:r>
            <w:r>
              <w:rPr>
                <w:rFonts w:hint="eastAsia" w:eastAsiaTheme="minorEastAsia"/>
                <w:color w:val="FF0000"/>
                <w:szCs w:val="21"/>
                <w:u w:val="single"/>
                <w:lang w:eastAsia="zh-CN"/>
              </w:rPr>
              <w:t>镇西圪梁村</w:t>
            </w:r>
            <w:r>
              <w:rPr>
                <w:rFonts w:eastAsiaTheme="minorEastAsia"/>
                <w:szCs w:val="21"/>
              </w:rPr>
              <w:t>（具体地址）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8" w:type="dxa"/>
            <w:tcMar>
              <w:top w:w="16" w:type="dxa"/>
              <w:left w:w="16" w:type="dxa"/>
              <w:right w:w="16" w:type="dxa"/>
            </w:tcMar>
            <w:vAlign w:val="center"/>
          </w:tcPr>
          <w:p>
            <w:pPr>
              <w:adjustRightInd w:val="0"/>
              <w:snapToGrid w:val="0"/>
              <w:jc w:val="center"/>
              <w:rPr>
                <w:rFonts w:eastAsiaTheme="minorEastAsia"/>
                <w:szCs w:val="21"/>
              </w:rPr>
            </w:pPr>
            <w:r>
              <w:rPr>
                <w:rFonts w:eastAsiaTheme="minorEastAsia"/>
                <w:szCs w:val="21"/>
              </w:rPr>
              <w:t>地理坐标</w:t>
            </w:r>
          </w:p>
        </w:tc>
        <w:tc>
          <w:tcPr>
            <w:tcW w:w="6872" w:type="dxa"/>
            <w:gridSpan w:val="3"/>
            <w:vAlign w:val="center"/>
          </w:tcPr>
          <w:p>
            <w:pPr>
              <w:jc w:val="center"/>
              <w:rPr>
                <w:rFonts w:eastAsiaTheme="minorEastAsia"/>
                <w:szCs w:val="21"/>
              </w:rPr>
            </w:pPr>
            <w:r>
              <w:rPr>
                <w:rFonts w:eastAsiaTheme="minorEastAsia"/>
                <w:szCs w:val="21"/>
              </w:rPr>
              <w:t>（</w:t>
            </w:r>
            <w:r>
              <w:rPr>
                <w:rFonts w:eastAsiaTheme="minorEastAsia"/>
                <w:szCs w:val="21"/>
                <w:u w:val="single"/>
              </w:rPr>
              <w:t xml:space="preserve"> </w:t>
            </w:r>
            <w:r>
              <w:rPr>
                <w:rFonts w:hint="eastAsia" w:eastAsiaTheme="minorEastAsia"/>
                <w:szCs w:val="21"/>
                <w:u w:val="single"/>
              </w:rPr>
              <w:t>108</w:t>
            </w:r>
            <w:r>
              <w:rPr>
                <w:rFonts w:eastAsiaTheme="minorEastAsia"/>
                <w:szCs w:val="21"/>
                <w:u w:val="single"/>
              </w:rPr>
              <w:t xml:space="preserve"> </w:t>
            </w:r>
            <w:r>
              <w:rPr>
                <w:rFonts w:eastAsiaTheme="minorEastAsia"/>
                <w:szCs w:val="21"/>
              </w:rPr>
              <w:t>度</w:t>
            </w:r>
            <w:r>
              <w:rPr>
                <w:rFonts w:eastAsiaTheme="minorEastAsia"/>
                <w:szCs w:val="21"/>
                <w:u w:val="single"/>
              </w:rPr>
              <w:t xml:space="preserve"> </w:t>
            </w:r>
            <w:r>
              <w:rPr>
                <w:rFonts w:hint="eastAsia" w:eastAsiaTheme="minorEastAsia"/>
                <w:szCs w:val="21"/>
                <w:u w:val="single"/>
              </w:rPr>
              <w:t>2</w:t>
            </w:r>
            <w:r>
              <w:rPr>
                <w:rFonts w:eastAsiaTheme="minorEastAsia"/>
                <w:szCs w:val="21"/>
                <w:u w:val="single"/>
              </w:rPr>
              <w:t xml:space="preserve">5 </w:t>
            </w:r>
            <w:r>
              <w:rPr>
                <w:rFonts w:eastAsiaTheme="minorEastAsia"/>
                <w:szCs w:val="21"/>
              </w:rPr>
              <w:t>分</w:t>
            </w:r>
            <w:r>
              <w:rPr>
                <w:rFonts w:eastAsiaTheme="minorEastAsia"/>
                <w:szCs w:val="21"/>
                <w:u w:val="single"/>
              </w:rPr>
              <w:t xml:space="preserve"> </w:t>
            </w:r>
            <w:r>
              <w:rPr>
                <w:rFonts w:hint="eastAsia" w:eastAsiaTheme="minorEastAsia"/>
                <w:szCs w:val="21"/>
                <w:u w:val="single"/>
              </w:rPr>
              <w:t>15.667</w:t>
            </w:r>
            <w:r>
              <w:rPr>
                <w:rFonts w:eastAsiaTheme="minorEastAsia"/>
                <w:szCs w:val="21"/>
                <w:u w:val="single"/>
              </w:rPr>
              <w:t xml:space="preserve"> </w:t>
            </w:r>
            <w:r>
              <w:rPr>
                <w:rFonts w:eastAsiaTheme="minorEastAsia"/>
                <w:szCs w:val="21"/>
              </w:rPr>
              <w:t>秒，</w:t>
            </w:r>
            <w:r>
              <w:rPr>
                <w:rFonts w:eastAsiaTheme="minorEastAsia"/>
                <w:szCs w:val="21"/>
                <w:u w:val="single"/>
              </w:rPr>
              <w:t xml:space="preserve"> 40 </w:t>
            </w:r>
            <w:r>
              <w:rPr>
                <w:rFonts w:eastAsiaTheme="minorEastAsia"/>
                <w:szCs w:val="21"/>
              </w:rPr>
              <w:t>度</w:t>
            </w:r>
            <w:r>
              <w:rPr>
                <w:rFonts w:hint="eastAsia" w:eastAsiaTheme="minorEastAsia"/>
                <w:szCs w:val="21"/>
                <w:u w:val="single"/>
              </w:rPr>
              <w:t>58</w:t>
            </w:r>
            <w:r>
              <w:rPr>
                <w:rFonts w:eastAsiaTheme="minorEastAsia"/>
                <w:szCs w:val="21"/>
                <w:u w:val="single"/>
              </w:rPr>
              <w:t xml:space="preserve"> </w:t>
            </w:r>
            <w:r>
              <w:rPr>
                <w:rFonts w:eastAsiaTheme="minorEastAsia"/>
                <w:szCs w:val="21"/>
              </w:rPr>
              <w:t>分</w:t>
            </w:r>
            <w:r>
              <w:rPr>
                <w:rFonts w:eastAsiaTheme="minorEastAsia"/>
                <w:szCs w:val="21"/>
                <w:u w:val="single"/>
              </w:rPr>
              <w:t xml:space="preserve"> </w:t>
            </w:r>
            <w:r>
              <w:rPr>
                <w:rFonts w:hint="eastAsia" w:eastAsiaTheme="minorEastAsia"/>
                <w:szCs w:val="21"/>
                <w:u w:val="single"/>
              </w:rPr>
              <w:t>58.677</w:t>
            </w:r>
            <w:r>
              <w:rPr>
                <w:rFonts w:eastAsiaTheme="minorEastAsia"/>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998" w:type="dxa"/>
            <w:tcMar>
              <w:top w:w="16" w:type="dxa"/>
              <w:left w:w="16" w:type="dxa"/>
              <w:right w:w="16" w:type="dxa"/>
            </w:tcMar>
            <w:vAlign w:val="center"/>
          </w:tcPr>
          <w:p>
            <w:pPr>
              <w:adjustRightInd w:val="0"/>
              <w:snapToGrid w:val="0"/>
              <w:jc w:val="center"/>
              <w:rPr>
                <w:rFonts w:eastAsiaTheme="minorEastAsia"/>
                <w:szCs w:val="21"/>
              </w:rPr>
            </w:pPr>
            <w:r>
              <w:rPr>
                <w:rFonts w:eastAsiaTheme="minorEastAsia"/>
                <w:szCs w:val="21"/>
              </w:rPr>
              <w:t>国民经济</w:t>
            </w:r>
          </w:p>
          <w:p>
            <w:pPr>
              <w:adjustRightInd w:val="0"/>
              <w:snapToGrid w:val="0"/>
              <w:jc w:val="center"/>
              <w:rPr>
                <w:rFonts w:eastAsiaTheme="minorEastAsia"/>
                <w:szCs w:val="21"/>
              </w:rPr>
            </w:pPr>
            <w:r>
              <w:rPr>
                <w:rFonts w:eastAsiaTheme="minorEastAsia"/>
                <w:szCs w:val="21"/>
              </w:rPr>
              <w:t>行业类别</w:t>
            </w:r>
          </w:p>
        </w:tc>
        <w:tc>
          <w:tcPr>
            <w:tcW w:w="2021" w:type="dxa"/>
            <w:vAlign w:val="center"/>
          </w:tcPr>
          <w:p>
            <w:pPr>
              <w:adjustRightInd w:val="0"/>
              <w:snapToGrid w:val="0"/>
              <w:jc w:val="both"/>
              <w:rPr>
                <w:rFonts w:eastAsiaTheme="minorEastAsia"/>
                <w:szCs w:val="21"/>
              </w:rPr>
            </w:pPr>
            <w:r>
              <w:rPr>
                <w:rFonts w:eastAsiaTheme="minorEastAsia"/>
                <w:szCs w:val="21"/>
              </w:rPr>
              <w:t>D4430热力生产和供应</w:t>
            </w:r>
          </w:p>
        </w:tc>
        <w:tc>
          <w:tcPr>
            <w:tcW w:w="2212" w:type="dxa"/>
            <w:vAlign w:val="center"/>
          </w:tcPr>
          <w:p>
            <w:pPr>
              <w:adjustRightInd w:val="0"/>
              <w:snapToGrid w:val="0"/>
              <w:jc w:val="center"/>
              <w:rPr>
                <w:rFonts w:eastAsiaTheme="minorEastAsia"/>
                <w:szCs w:val="21"/>
              </w:rPr>
            </w:pPr>
            <w:bookmarkStart w:id="1" w:name="_Hlk49843745"/>
            <w:r>
              <w:rPr>
                <w:rFonts w:eastAsiaTheme="minorEastAsia"/>
                <w:szCs w:val="21"/>
              </w:rPr>
              <w:t>建设项目</w:t>
            </w:r>
          </w:p>
          <w:p>
            <w:pPr>
              <w:adjustRightInd w:val="0"/>
              <w:snapToGrid w:val="0"/>
              <w:jc w:val="center"/>
              <w:rPr>
                <w:rFonts w:eastAsiaTheme="minorEastAsia"/>
                <w:szCs w:val="21"/>
              </w:rPr>
            </w:pPr>
            <w:r>
              <w:rPr>
                <w:rFonts w:eastAsiaTheme="minorEastAsia"/>
                <w:szCs w:val="21"/>
              </w:rPr>
              <w:t>行业类别</w:t>
            </w:r>
            <w:bookmarkEnd w:id="1"/>
          </w:p>
        </w:tc>
        <w:tc>
          <w:tcPr>
            <w:tcW w:w="2639" w:type="dxa"/>
            <w:vAlign w:val="center"/>
          </w:tcPr>
          <w:p>
            <w:pPr>
              <w:adjustRightInd w:val="0"/>
              <w:snapToGrid w:val="0"/>
              <w:jc w:val="both"/>
              <w:rPr>
                <w:rFonts w:eastAsiaTheme="minorEastAsia"/>
                <w:szCs w:val="21"/>
              </w:rPr>
            </w:pPr>
            <w:r>
              <w:rPr>
                <w:rFonts w:eastAsiaTheme="minorEastAsia"/>
                <w:szCs w:val="21"/>
              </w:rPr>
              <w:t>四十一、电力、热力生产与供应业中91热力生产与供应工程（包括建设单位自建自用的供热工程）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998" w:type="dxa"/>
            <w:tcMar>
              <w:top w:w="16" w:type="dxa"/>
              <w:left w:w="16" w:type="dxa"/>
              <w:right w:w="16" w:type="dxa"/>
            </w:tcMar>
            <w:vAlign w:val="center"/>
          </w:tcPr>
          <w:p>
            <w:pPr>
              <w:adjustRightInd w:val="0"/>
              <w:snapToGrid w:val="0"/>
              <w:jc w:val="center"/>
              <w:rPr>
                <w:rFonts w:eastAsiaTheme="minorEastAsia"/>
                <w:szCs w:val="21"/>
              </w:rPr>
            </w:pPr>
            <w:r>
              <w:rPr>
                <w:rFonts w:eastAsiaTheme="minorEastAsia"/>
                <w:szCs w:val="21"/>
              </w:rPr>
              <w:t>建设性质</w:t>
            </w:r>
          </w:p>
        </w:tc>
        <w:tc>
          <w:tcPr>
            <w:tcW w:w="2021" w:type="dxa"/>
            <w:vAlign w:val="center"/>
          </w:tcPr>
          <w:p>
            <w:pPr>
              <w:jc w:val="left"/>
              <w:rPr>
                <w:rFonts w:eastAsiaTheme="minorEastAsia"/>
                <w:szCs w:val="21"/>
              </w:rPr>
            </w:pPr>
            <w:r>
              <w:rPr>
                <w:rFonts w:hAnsi="MS Mincho" w:eastAsiaTheme="minorEastAsia"/>
                <w:szCs w:val="21"/>
              </w:rPr>
              <w:t>☑</w:t>
            </w:r>
            <w:r>
              <w:rPr>
                <w:rFonts w:eastAsiaTheme="minorEastAsia"/>
                <w:szCs w:val="21"/>
              </w:rPr>
              <w:t>新建（迁建）</w:t>
            </w:r>
          </w:p>
          <w:p>
            <w:pPr>
              <w:jc w:val="left"/>
              <w:rPr>
                <w:rFonts w:hint="eastAsia" w:ascii="宋体" w:hAnsi="宋体" w:eastAsia="宋体" w:cs="宋体"/>
                <w:szCs w:val="21"/>
              </w:rPr>
            </w:pPr>
            <w:r>
              <w:rPr>
                <w:rFonts w:hint="eastAsia" w:ascii="宋体" w:hAnsi="宋体" w:eastAsia="宋体" w:cs="宋体"/>
                <w:szCs w:val="21"/>
              </w:rPr>
              <w:t>□改建</w:t>
            </w:r>
          </w:p>
          <w:p>
            <w:pPr>
              <w:jc w:val="left"/>
              <w:rPr>
                <w:rFonts w:hint="eastAsia" w:ascii="宋体" w:hAnsi="宋体" w:eastAsia="宋体" w:cs="宋体"/>
                <w:szCs w:val="21"/>
              </w:rPr>
            </w:pPr>
            <w:r>
              <w:rPr>
                <w:rFonts w:hint="eastAsia" w:ascii="宋体" w:hAnsi="宋体" w:eastAsia="宋体" w:cs="宋体"/>
                <w:szCs w:val="21"/>
              </w:rPr>
              <w:t>□扩建</w:t>
            </w:r>
          </w:p>
          <w:p>
            <w:pPr>
              <w:jc w:val="left"/>
              <w:rPr>
                <w:rFonts w:eastAsiaTheme="minorEastAsia"/>
                <w:szCs w:val="21"/>
              </w:rPr>
            </w:pPr>
            <w:r>
              <w:rPr>
                <w:rFonts w:hint="eastAsia" w:ascii="宋体" w:hAnsi="宋体" w:eastAsia="宋体" w:cs="宋体"/>
                <w:szCs w:val="21"/>
              </w:rPr>
              <w:t>□技术改造</w:t>
            </w:r>
          </w:p>
        </w:tc>
        <w:tc>
          <w:tcPr>
            <w:tcW w:w="2212" w:type="dxa"/>
            <w:vAlign w:val="center"/>
          </w:tcPr>
          <w:p>
            <w:pPr>
              <w:adjustRightInd w:val="0"/>
              <w:snapToGrid w:val="0"/>
              <w:jc w:val="center"/>
              <w:rPr>
                <w:rFonts w:eastAsiaTheme="minorEastAsia"/>
                <w:szCs w:val="21"/>
              </w:rPr>
            </w:pPr>
            <w:r>
              <w:rPr>
                <w:rFonts w:eastAsiaTheme="minorEastAsia"/>
                <w:szCs w:val="21"/>
              </w:rPr>
              <w:t>建设项目</w:t>
            </w:r>
          </w:p>
          <w:p>
            <w:pPr>
              <w:adjustRightInd w:val="0"/>
              <w:snapToGrid w:val="0"/>
              <w:jc w:val="center"/>
              <w:rPr>
                <w:rFonts w:eastAsiaTheme="minorEastAsia"/>
                <w:szCs w:val="21"/>
              </w:rPr>
            </w:pPr>
            <w:r>
              <w:rPr>
                <w:rFonts w:eastAsiaTheme="minorEastAsia"/>
                <w:szCs w:val="21"/>
              </w:rPr>
              <w:t>申报情形</w:t>
            </w:r>
          </w:p>
        </w:tc>
        <w:tc>
          <w:tcPr>
            <w:tcW w:w="2639" w:type="dxa"/>
            <w:vAlign w:val="center"/>
          </w:tcPr>
          <w:p>
            <w:pPr>
              <w:jc w:val="left"/>
              <w:rPr>
                <w:rFonts w:eastAsiaTheme="minorEastAsia"/>
                <w:szCs w:val="21"/>
              </w:rPr>
            </w:pPr>
            <w:r>
              <w:rPr>
                <w:rFonts w:hAnsi="MS Mincho" w:eastAsiaTheme="minorEastAsia"/>
                <w:szCs w:val="21"/>
              </w:rPr>
              <w:t>☑</w:t>
            </w:r>
            <w:r>
              <w:rPr>
                <w:rFonts w:eastAsiaTheme="minorEastAsia"/>
                <w:szCs w:val="21"/>
              </w:rPr>
              <w:t xml:space="preserve">首次申报项目             </w:t>
            </w:r>
          </w:p>
          <w:p>
            <w:pPr>
              <w:jc w:val="left"/>
              <w:rPr>
                <w:rFonts w:hint="eastAsia" w:ascii="宋体" w:hAnsi="宋体" w:eastAsia="宋体" w:cs="宋体"/>
                <w:szCs w:val="21"/>
              </w:rPr>
            </w:pPr>
            <w:r>
              <w:rPr>
                <w:rFonts w:hint="eastAsia" w:ascii="宋体" w:hAnsi="宋体" w:eastAsia="宋体" w:cs="宋体"/>
                <w:szCs w:val="21"/>
              </w:rPr>
              <w:t>□不予批准后再次申报项目</w:t>
            </w:r>
          </w:p>
          <w:p>
            <w:pPr>
              <w:jc w:val="left"/>
              <w:rPr>
                <w:rFonts w:hint="eastAsia" w:ascii="宋体" w:hAnsi="宋体" w:eastAsia="宋体" w:cs="宋体"/>
                <w:szCs w:val="21"/>
              </w:rPr>
            </w:pPr>
            <w:r>
              <w:rPr>
                <w:rFonts w:hint="eastAsia" w:ascii="宋体" w:hAnsi="宋体" w:eastAsia="宋体" w:cs="宋体"/>
                <w:szCs w:val="21"/>
              </w:rPr>
              <w:t xml:space="preserve">□超五年重新审核项目     </w:t>
            </w:r>
          </w:p>
          <w:p>
            <w:pPr>
              <w:jc w:val="left"/>
              <w:rPr>
                <w:rFonts w:eastAsiaTheme="minorEastAsia"/>
                <w:szCs w:val="21"/>
              </w:rPr>
            </w:pPr>
            <w:r>
              <w:rPr>
                <w:rFonts w:hint="eastAsia" w:ascii="宋体" w:hAnsi="宋体" w:eastAsia="宋体" w:cs="宋体"/>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998" w:type="dxa"/>
            <w:tcMar>
              <w:top w:w="16" w:type="dxa"/>
              <w:left w:w="16" w:type="dxa"/>
              <w:right w:w="16" w:type="dxa"/>
            </w:tcMar>
            <w:vAlign w:val="center"/>
          </w:tcPr>
          <w:p>
            <w:pPr>
              <w:adjustRightInd w:val="0"/>
              <w:snapToGrid w:val="0"/>
              <w:jc w:val="center"/>
              <w:rPr>
                <w:rFonts w:eastAsiaTheme="minorEastAsia"/>
                <w:szCs w:val="21"/>
              </w:rPr>
            </w:pPr>
            <w:r>
              <w:rPr>
                <w:rFonts w:eastAsiaTheme="minorEastAsia"/>
                <w:szCs w:val="21"/>
              </w:rPr>
              <w:t>项目审批（核准/</w:t>
            </w:r>
          </w:p>
          <w:p>
            <w:pPr>
              <w:adjustRightInd w:val="0"/>
              <w:snapToGrid w:val="0"/>
              <w:jc w:val="center"/>
              <w:rPr>
                <w:rFonts w:eastAsiaTheme="minorEastAsia"/>
                <w:szCs w:val="21"/>
              </w:rPr>
            </w:pPr>
            <w:r>
              <w:rPr>
                <w:rFonts w:eastAsiaTheme="minorEastAsia"/>
                <w:szCs w:val="21"/>
              </w:rPr>
              <w:t>备案）部门（选填）</w:t>
            </w:r>
          </w:p>
        </w:tc>
        <w:tc>
          <w:tcPr>
            <w:tcW w:w="2021" w:type="dxa"/>
            <w:vAlign w:val="center"/>
          </w:tcPr>
          <w:p>
            <w:pPr>
              <w:adjustRightInd w:val="0"/>
              <w:snapToGrid w:val="0"/>
              <w:jc w:val="center"/>
              <w:rPr>
                <w:rFonts w:eastAsiaTheme="minorEastAsia"/>
                <w:szCs w:val="21"/>
              </w:rPr>
            </w:pPr>
            <w:r>
              <w:rPr>
                <w:rFonts w:eastAsiaTheme="minorEastAsia"/>
                <w:szCs w:val="21"/>
              </w:rPr>
              <w:t>五原县发展和改革委员会</w:t>
            </w:r>
          </w:p>
        </w:tc>
        <w:tc>
          <w:tcPr>
            <w:tcW w:w="2212" w:type="dxa"/>
            <w:vAlign w:val="center"/>
          </w:tcPr>
          <w:p>
            <w:pPr>
              <w:adjustRightInd w:val="0"/>
              <w:snapToGrid w:val="0"/>
              <w:jc w:val="center"/>
              <w:rPr>
                <w:rFonts w:eastAsiaTheme="minorEastAsia"/>
                <w:szCs w:val="21"/>
              </w:rPr>
            </w:pPr>
            <w:r>
              <w:rPr>
                <w:rFonts w:eastAsiaTheme="minorEastAsia"/>
                <w:szCs w:val="21"/>
              </w:rPr>
              <w:t>项目审批（核准/</w:t>
            </w:r>
          </w:p>
          <w:p>
            <w:pPr>
              <w:adjustRightInd w:val="0"/>
              <w:snapToGrid w:val="0"/>
              <w:jc w:val="center"/>
              <w:rPr>
                <w:rFonts w:eastAsiaTheme="minorEastAsia"/>
                <w:szCs w:val="21"/>
              </w:rPr>
            </w:pPr>
            <w:r>
              <w:rPr>
                <w:rFonts w:eastAsiaTheme="minorEastAsia"/>
                <w:szCs w:val="21"/>
              </w:rPr>
              <w:t>备案）文号（选填）</w:t>
            </w:r>
          </w:p>
        </w:tc>
        <w:tc>
          <w:tcPr>
            <w:tcW w:w="2639" w:type="dxa"/>
            <w:vAlign w:val="center"/>
          </w:tcPr>
          <w:p>
            <w:pPr>
              <w:adjustRightInd w:val="0"/>
              <w:snapToGrid w:val="0"/>
              <w:jc w:val="center"/>
              <w:rPr>
                <w:rFonts w:eastAsiaTheme="minorEastAsia"/>
                <w:szCs w:val="21"/>
              </w:rPr>
            </w:pPr>
            <w:r>
              <w:rPr>
                <w:rFonts w:eastAsiaTheme="minorEastAsia"/>
                <w:szCs w:val="21"/>
              </w:rPr>
              <w:t>2111-150821-04-01-263700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8" w:type="dxa"/>
            <w:tcMar>
              <w:top w:w="16" w:type="dxa"/>
              <w:left w:w="16" w:type="dxa"/>
              <w:right w:w="16" w:type="dxa"/>
            </w:tcMar>
            <w:vAlign w:val="center"/>
          </w:tcPr>
          <w:p>
            <w:pPr>
              <w:adjustRightInd w:val="0"/>
              <w:snapToGrid w:val="0"/>
              <w:jc w:val="center"/>
              <w:rPr>
                <w:rFonts w:eastAsiaTheme="minorEastAsia"/>
                <w:szCs w:val="21"/>
              </w:rPr>
            </w:pPr>
            <w:r>
              <w:rPr>
                <w:rFonts w:eastAsiaTheme="minorEastAsia"/>
                <w:szCs w:val="21"/>
              </w:rPr>
              <w:t>总投资（万元）</w:t>
            </w:r>
          </w:p>
        </w:tc>
        <w:tc>
          <w:tcPr>
            <w:tcW w:w="2021" w:type="dxa"/>
            <w:vAlign w:val="center"/>
          </w:tcPr>
          <w:p>
            <w:pPr>
              <w:adjustRightInd w:val="0"/>
              <w:snapToGrid w:val="0"/>
              <w:jc w:val="center"/>
              <w:rPr>
                <w:rFonts w:eastAsiaTheme="minorEastAsia"/>
                <w:szCs w:val="21"/>
              </w:rPr>
            </w:pPr>
            <w:r>
              <w:rPr>
                <w:rFonts w:eastAsiaTheme="minorEastAsia"/>
                <w:szCs w:val="21"/>
              </w:rPr>
              <w:t>24423</w:t>
            </w:r>
          </w:p>
        </w:tc>
        <w:tc>
          <w:tcPr>
            <w:tcW w:w="2212" w:type="dxa"/>
            <w:tcMar>
              <w:top w:w="16" w:type="dxa"/>
              <w:left w:w="16" w:type="dxa"/>
              <w:right w:w="16" w:type="dxa"/>
            </w:tcMar>
            <w:vAlign w:val="center"/>
          </w:tcPr>
          <w:p>
            <w:pPr>
              <w:adjustRightInd w:val="0"/>
              <w:snapToGrid w:val="0"/>
              <w:jc w:val="center"/>
              <w:rPr>
                <w:rFonts w:eastAsiaTheme="minorEastAsia"/>
                <w:szCs w:val="21"/>
              </w:rPr>
            </w:pPr>
            <w:r>
              <w:rPr>
                <w:rFonts w:eastAsiaTheme="minorEastAsia"/>
                <w:szCs w:val="21"/>
              </w:rPr>
              <w:t>环保投资（万元）</w:t>
            </w:r>
          </w:p>
        </w:tc>
        <w:tc>
          <w:tcPr>
            <w:tcW w:w="2639" w:type="dxa"/>
            <w:vAlign w:val="center"/>
          </w:tcPr>
          <w:p>
            <w:pPr>
              <w:adjustRightInd w:val="0"/>
              <w:snapToGrid w:val="0"/>
              <w:jc w:val="center"/>
              <w:rPr>
                <w:rFonts w:eastAsiaTheme="minorEastAsia"/>
                <w:szCs w:val="21"/>
              </w:rPr>
            </w:pPr>
            <w:r>
              <w:rPr>
                <w:rFonts w:hint="eastAsia" w:eastAsiaTheme="minorEastAsia"/>
                <w:szCs w:val="21"/>
              </w:rPr>
              <w:t>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8" w:type="dxa"/>
            <w:tcMar>
              <w:top w:w="16" w:type="dxa"/>
              <w:left w:w="16" w:type="dxa"/>
              <w:right w:w="16" w:type="dxa"/>
            </w:tcMar>
            <w:vAlign w:val="center"/>
          </w:tcPr>
          <w:p>
            <w:pPr>
              <w:adjustRightInd w:val="0"/>
              <w:snapToGrid w:val="0"/>
              <w:jc w:val="center"/>
              <w:rPr>
                <w:rFonts w:eastAsiaTheme="minorEastAsia"/>
                <w:szCs w:val="21"/>
              </w:rPr>
            </w:pPr>
            <w:r>
              <w:rPr>
                <w:rFonts w:eastAsiaTheme="minorEastAsia"/>
                <w:szCs w:val="21"/>
              </w:rPr>
              <w:t>环保投资占比（%）</w:t>
            </w:r>
          </w:p>
        </w:tc>
        <w:tc>
          <w:tcPr>
            <w:tcW w:w="2021" w:type="dxa"/>
            <w:vAlign w:val="center"/>
          </w:tcPr>
          <w:p>
            <w:pPr>
              <w:adjustRightInd w:val="0"/>
              <w:snapToGrid w:val="0"/>
              <w:jc w:val="center"/>
              <w:rPr>
                <w:rFonts w:eastAsiaTheme="minorEastAsia"/>
                <w:szCs w:val="21"/>
              </w:rPr>
            </w:pPr>
            <w:r>
              <w:rPr>
                <w:rFonts w:hint="eastAsia" w:eastAsiaTheme="minorEastAsia"/>
                <w:szCs w:val="21"/>
              </w:rPr>
              <w:t>0.09</w:t>
            </w:r>
          </w:p>
        </w:tc>
        <w:tc>
          <w:tcPr>
            <w:tcW w:w="2212" w:type="dxa"/>
            <w:tcMar>
              <w:top w:w="16" w:type="dxa"/>
              <w:left w:w="16" w:type="dxa"/>
              <w:right w:w="16" w:type="dxa"/>
            </w:tcMar>
            <w:vAlign w:val="center"/>
          </w:tcPr>
          <w:p>
            <w:pPr>
              <w:adjustRightInd w:val="0"/>
              <w:snapToGrid w:val="0"/>
              <w:jc w:val="center"/>
              <w:rPr>
                <w:rFonts w:eastAsiaTheme="minorEastAsia"/>
                <w:szCs w:val="21"/>
              </w:rPr>
            </w:pPr>
            <w:r>
              <w:rPr>
                <w:rFonts w:eastAsiaTheme="minorEastAsia"/>
                <w:szCs w:val="21"/>
              </w:rPr>
              <w:t>施工工期</w:t>
            </w:r>
          </w:p>
        </w:tc>
        <w:tc>
          <w:tcPr>
            <w:tcW w:w="2639" w:type="dxa"/>
            <w:vAlign w:val="center"/>
          </w:tcPr>
          <w:p>
            <w:pPr>
              <w:adjustRightInd w:val="0"/>
              <w:snapToGrid w:val="0"/>
              <w:jc w:val="center"/>
              <w:rPr>
                <w:rFonts w:eastAsiaTheme="minorEastAsia"/>
                <w:szCs w:val="21"/>
              </w:rPr>
            </w:pPr>
            <w:r>
              <w:rPr>
                <w:rFonts w:eastAsiaTheme="minorEastAsia"/>
                <w:szCs w:val="21"/>
              </w:rPr>
              <w:t>202</w:t>
            </w:r>
            <w:r>
              <w:rPr>
                <w:rFonts w:hint="eastAsia" w:eastAsiaTheme="minorEastAsia"/>
                <w:szCs w:val="21"/>
              </w:rPr>
              <w:t>3</w:t>
            </w:r>
            <w:r>
              <w:rPr>
                <w:rFonts w:eastAsiaTheme="minorEastAsia"/>
                <w:szCs w:val="21"/>
              </w:rPr>
              <w:t>年</w:t>
            </w:r>
            <w:r>
              <w:rPr>
                <w:rFonts w:hint="eastAsia" w:eastAsiaTheme="minorEastAsia"/>
                <w:szCs w:val="21"/>
              </w:rPr>
              <w:t>5</w:t>
            </w:r>
            <w:r>
              <w:rPr>
                <w:rFonts w:eastAsiaTheme="minorEastAsia"/>
                <w:szCs w:val="21"/>
              </w:rPr>
              <w:t>月-202</w:t>
            </w:r>
            <w:r>
              <w:rPr>
                <w:rFonts w:hint="eastAsia" w:eastAsiaTheme="minorEastAsia"/>
                <w:szCs w:val="21"/>
              </w:rPr>
              <w:t>4</w:t>
            </w:r>
            <w:r>
              <w:rPr>
                <w:rFonts w:eastAsiaTheme="minorEastAsia"/>
                <w:szCs w:val="21"/>
              </w:rPr>
              <w:t>年6月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98" w:type="dxa"/>
            <w:tcMar>
              <w:top w:w="16" w:type="dxa"/>
              <w:left w:w="16" w:type="dxa"/>
              <w:right w:w="16" w:type="dxa"/>
            </w:tcMar>
            <w:vAlign w:val="center"/>
          </w:tcPr>
          <w:p>
            <w:pPr>
              <w:adjustRightInd w:val="0"/>
              <w:snapToGrid w:val="0"/>
              <w:jc w:val="center"/>
              <w:rPr>
                <w:rFonts w:eastAsiaTheme="minorEastAsia"/>
                <w:szCs w:val="21"/>
              </w:rPr>
            </w:pPr>
            <w:r>
              <w:rPr>
                <w:rFonts w:eastAsiaTheme="minorEastAsia"/>
                <w:szCs w:val="21"/>
              </w:rPr>
              <w:t>是否开工建设</w:t>
            </w:r>
          </w:p>
        </w:tc>
        <w:tc>
          <w:tcPr>
            <w:tcW w:w="2021" w:type="dxa"/>
            <w:vAlign w:val="center"/>
          </w:tcPr>
          <w:p>
            <w:pPr>
              <w:adjustRightInd w:val="0"/>
              <w:snapToGrid w:val="0"/>
              <w:rPr>
                <w:rFonts w:eastAsiaTheme="minorEastAsia"/>
                <w:szCs w:val="21"/>
              </w:rPr>
            </w:pPr>
            <w:r>
              <w:rPr>
                <w:rFonts w:hAnsi="MS Mincho" w:eastAsia="MS Mincho"/>
                <w:szCs w:val="21"/>
              </w:rPr>
              <w:t>☑</w:t>
            </w:r>
            <w:r>
              <w:rPr>
                <w:rFonts w:eastAsiaTheme="minorEastAsia"/>
                <w:szCs w:val="21"/>
              </w:rPr>
              <w:t>否</w:t>
            </w:r>
          </w:p>
          <w:p>
            <w:pPr>
              <w:adjustRightInd w:val="0"/>
              <w:snapToGrid w:val="0"/>
              <w:rPr>
                <w:rFonts w:eastAsiaTheme="minorEastAsia"/>
                <w:szCs w:val="21"/>
              </w:rPr>
            </w:pPr>
            <w:r>
              <w:rPr>
                <w:rFonts w:hint="eastAsia" w:ascii="宋体" w:hAnsi="宋体" w:eastAsia="宋体" w:cs="宋体"/>
                <w:szCs w:val="21"/>
              </w:rPr>
              <w:t>□</w:t>
            </w:r>
            <w:r>
              <w:rPr>
                <w:rFonts w:eastAsiaTheme="minorEastAsia"/>
                <w:szCs w:val="21"/>
              </w:rPr>
              <w:t>是：</w:t>
            </w:r>
            <w:r>
              <w:rPr>
                <w:rFonts w:eastAsiaTheme="minorEastAsia"/>
                <w:szCs w:val="21"/>
                <w:u w:val="single"/>
              </w:rPr>
              <w:t xml:space="preserve">             </w:t>
            </w:r>
          </w:p>
        </w:tc>
        <w:tc>
          <w:tcPr>
            <w:tcW w:w="2212" w:type="dxa"/>
            <w:tcMar>
              <w:top w:w="16" w:type="dxa"/>
              <w:left w:w="16" w:type="dxa"/>
              <w:right w:w="16" w:type="dxa"/>
            </w:tcMar>
            <w:vAlign w:val="center"/>
          </w:tcPr>
          <w:p>
            <w:pPr>
              <w:adjustRightInd w:val="0"/>
              <w:snapToGrid w:val="0"/>
              <w:jc w:val="center"/>
              <w:rPr>
                <w:rFonts w:eastAsiaTheme="minorEastAsia"/>
                <w:szCs w:val="21"/>
              </w:rPr>
            </w:pPr>
            <w:r>
              <w:rPr>
                <w:rFonts w:eastAsiaTheme="minorEastAsia"/>
                <w:spacing w:val="-6"/>
                <w:szCs w:val="21"/>
              </w:rPr>
              <w:t>用地面积（m</w:t>
            </w:r>
            <w:r>
              <w:rPr>
                <w:rFonts w:eastAsiaTheme="minorEastAsia"/>
                <w:spacing w:val="-6"/>
                <w:szCs w:val="21"/>
                <w:vertAlign w:val="superscript"/>
              </w:rPr>
              <w:t>2</w:t>
            </w:r>
            <w:r>
              <w:rPr>
                <w:rFonts w:eastAsiaTheme="minorEastAsia"/>
                <w:spacing w:val="-6"/>
                <w:szCs w:val="21"/>
              </w:rPr>
              <w:t>）</w:t>
            </w:r>
          </w:p>
        </w:tc>
        <w:tc>
          <w:tcPr>
            <w:tcW w:w="2639" w:type="dxa"/>
            <w:vAlign w:val="center"/>
          </w:tcPr>
          <w:p>
            <w:pPr>
              <w:adjustRightInd w:val="0"/>
              <w:snapToGrid w:val="0"/>
              <w:jc w:val="center"/>
              <w:rPr>
                <w:rFonts w:eastAsiaTheme="minorEastAsia"/>
                <w:szCs w:val="21"/>
              </w:rPr>
            </w:pPr>
            <w:r>
              <w:rPr>
                <w:rFonts w:eastAsiaTheme="minorEastAsia"/>
                <w:bCs/>
                <w:szCs w:val="21"/>
                <w:u w:val="single"/>
              </w:rPr>
              <w:t>87497.708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98" w:type="dxa"/>
            <w:vAlign w:val="center"/>
          </w:tcPr>
          <w:p>
            <w:pPr>
              <w:autoSpaceDE w:val="0"/>
              <w:autoSpaceDN w:val="0"/>
              <w:adjustRightInd w:val="0"/>
              <w:snapToGrid w:val="0"/>
              <w:jc w:val="center"/>
              <w:rPr>
                <w:rFonts w:eastAsiaTheme="minorEastAsia"/>
                <w:kern w:val="0"/>
                <w:szCs w:val="21"/>
              </w:rPr>
            </w:pPr>
            <w:r>
              <w:rPr>
                <w:rFonts w:eastAsiaTheme="minorEastAsia"/>
                <w:kern w:val="0"/>
                <w:szCs w:val="21"/>
              </w:rPr>
              <w:t>专项评价设置情况</w:t>
            </w:r>
          </w:p>
        </w:tc>
        <w:tc>
          <w:tcPr>
            <w:tcW w:w="6872" w:type="dxa"/>
            <w:gridSpan w:val="3"/>
            <w:vAlign w:val="center"/>
          </w:tcPr>
          <w:p>
            <w:pPr>
              <w:autoSpaceDE w:val="0"/>
              <w:autoSpaceDN w:val="0"/>
              <w:adjustRightInd w:val="0"/>
              <w:snapToGrid w:val="0"/>
              <w:ind w:firstLine="480" w:firstLineChars="200"/>
              <w:jc w:val="left"/>
              <w:rPr>
                <w:rFonts w:eastAsiaTheme="minorEastAsia"/>
                <w:kern w:val="0"/>
                <w:sz w:val="24"/>
              </w:rPr>
            </w:pPr>
            <w:r>
              <w:rPr>
                <w:rFonts w:eastAsiaTheme="minorEastAsia"/>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98" w:type="dxa"/>
            <w:vAlign w:val="center"/>
          </w:tcPr>
          <w:p>
            <w:pPr>
              <w:autoSpaceDE w:val="0"/>
              <w:autoSpaceDN w:val="0"/>
              <w:adjustRightInd w:val="0"/>
              <w:snapToGrid w:val="0"/>
              <w:jc w:val="center"/>
              <w:rPr>
                <w:rFonts w:eastAsiaTheme="minorEastAsia"/>
                <w:kern w:val="0"/>
                <w:szCs w:val="21"/>
              </w:rPr>
            </w:pPr>
            <w:r>
              <w:rPr>
                <w:rFonts w:eastAsiaTheme="minorEastAsia"/>
                <w:szCs w:val="21"/>
              </w:rPr>
              <w:t>规划情况</w:t>
            </w:r>
          </w:p>
        </w:tc>
        <w:tc>
          <w:tcPr>
            <w:tcW w:w="6872" w:type="dxa"/>
            <w:gridSpan w:val="3"/>
            <w:vAlign w:val="center"/>
          </w:tcPr>
          <w:p>
            <w:pPr>
              <w:pStyle w:val="31"/>
              <w:ind w:firstLine="480"/>
              <w:rPr>
                <w:rFonts w:eastAsiaTheme="minorEastAsia"/>
                <w:color w:val="auto"/>
                <w:kern w:val="0"/>
                <w:szCs w:val="24"/>
              </w:rPr>
            </w:pPr>
            <w:r>
              <w:rPr>
                <w:rFonts w:hint="eastAsia" w:eastAsiaTheme="minorEastAsia"/>
                <w:color w:val="auto"/>
                <w:kern w:val="0"/>
                <w:szCs w:val="24"/>
              </w:rPr>
              <w:t>2022年1月12日五原县人民政府出具关于对《五原县胜丰镇总体规划（2011-2030）》（2017修订）的批复。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98" w:type="dxa"/>
            <w:vAlign w:val="center"/>
          </w:tcPr>
          <w:p>
            <w:pPr>
              <w:adjustRightInd w:val="0"/>
              <w:snapToGrid w:val="0"/>
              <w:jc w:val="center"/>
              <w:rPr>
                <w:rFonts w:eastAsiaTheme="minorEastAsia"/>
                <w:szCs w:val="21"/>
              </w:rPr>
            </w:pPr>
            <w:r>
              <w:rPr>
                <w:rFonts w:eastAsiaTheme="minorEastAsia"/>
                <w:szCs w:val="21"/>
              </w:rPr>
              <w:t>规划环境影响</w:t>
            </w:r>
          </w:p>
          <w:p>
            <w:pPr>
              <w:adjustRightInd w:val="0"/>
              <w:snapToGrid w:val="0"/>
              <w:jc w:val="center"/>
              <w:rPr>
                <w:rFonts w:eastAsiaTheme="minorEastAsia"/>
                <w:kern w:val="0"/>
                <w:szCs w:val="21"/>
              </w:rPr>
            </w:pPr>
            <w:r>
              <w:rPr>
                <w:rFonts w:eastAsiaTheme="minorEastAsia"/>
                <w:szCs w:val="21"/>
              </w:rPr>
              <w:t>评价情况</w:t>
            </w:r>
          </w:p>
        </w:tc>
        <w:tc>
          <w:tcPr>
            <w:tcW w:w="6872" w:type="dxa"/>
            <w:gridSpan w:val="3"/>
            <w:vAlign w:val="center"/>
          </w:tcPr>
          <w:p>
            <w:pPr>
              <w:pStyle w:val="31"/>
              <w:ind w:firstLine="480"/>
              <w:rPr>
                <w:rFonts w:eastAsiaTheme="minorEastAsia"/>
                <w:color w:val="auto"/>
                <w:kern w:val="0"/>
              </w:rPr>
            </w:pPr>
            <w:r>
              <w:rPr>
                <w:rFonts w:eastAsiaTheme="minorEastAsia"/>
                <w:color w:val="auto"/>
                <w:kern w:val="0"/>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98" w:type="dxa"/>
            <w:vAlign w:val="center"/>
          </w:tcPr>
          <w:p>
            <w:pPr>
              <w:autoSpaceDE w:val="0"/>
              <w:autoSpaceDN w:val="0"/>
              <w:adjustRightInd w:val="0"/>
              <w:snapToGrid w:val="0"/>
              <w:rPr>
                <w:rFonts w:eastAsiaTheme="minorEastAsia"/>
                <w:kern w:val="0"/>
                <w:szCs w:val="21"/>
              </w:rPr>
            </w:pPr>
            <w:r>
              <w:rPr>
                <w:rFonts w:eastAsiaTheme="minorEastAsia"/>
                <w:kern w:val="0"/>
                <w:szCs w:val="21"/>
              </w:rPr>
              <w:t>规划及规划环境影响评价符合性分析</w:t>
            </w:r>
          </w:p>
        </w:tc>
        <w:tc>
          <w:tcPr>
            <w:tcW w:w="6872" w:type="dxa"/>
            <w:gridSpan w:val="3"/>
            <w:vAlign w:val="center"/>
          </w:tcPr>
          <w:p>
            <w:pPr>
              <w:pStyle w:val="31"/>
              <w:ind w:firstLine="480"/>
              <w:rPr>
                <w:rFonts w:eastAsiaTheme="minorEastAsia"/>
                <w:color w:val="auto"/>
                <w:kern w:val="0"/>
                <w:szCs w:val="24"/>
              </w:rPr>
            </w:pPr>
            <w:r>
              <w:rPr>
                <w:rFonts w:hint="eastAsia" w:eastAsiaTheme="minorEastAsia"/>
                <w:color w:val="auto"/>
                <w:kern w:val="0"/>
                <w:szCs w:val="24"/>
              </w:rPr>
              <w:t>《五原县胜丰镇总体规划（2011-2030）》（2017修订）的批复提出胜丰镇以农副产品收储加工转运为主的商贸服务型宜居城镇，镇区规划布局以组团发展为特色，形成“一心、两轴、多核”的镇区结构。</w:t>
            </w:r>
          </w:p>
          <w:p>
            <w:pPr>
              <w:pStyle w:val="31"/>
              <w:ind w:firstLine="480"/>
              <w:rPr>
                <w:rFonts w:eastAsiaTheme="minorEastAsia"/>
                <w:color w:val="auto"/>
                <w:kern w:val="0"/>
              </w:rPr>
            </w:pPr>
            <w:r>
              <w:rPr>
                <w:rFonts w:hint="eastAsia" w:eastAsiaTheme="minorEastAsia"/>
                <w:color w:val="auto"/>
                <w:kern w:val="0"/>
                <w:szCs w:val="24"/>
              </w:rPr>
              <w:t>本项目为粮食仓储项目，符合《五原县胜丰镇总体规划（2011-2030）》（2017修订）。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98" w:type="dxa"/>
            <w:vAlign w:val="center"/>
          </w:tcPr>
          <w:p>
            <w:pPr>
              <w:autoSpaceDE w:val="0"/>
              <w:autoSpaceDN w:val="0"/>
              <w:adjustRightInd w:val="0"/>
              <w:snapToGrid w:val="0"/>
              <w:jc w:val="center"/>
              <w:rPr>
                <w:rFonts w:eastAsiaTheme="minorEastAsia"/>
                <w:kern w:val="0"/>
                <w:szCs w:val="21"/>
              </w:rPr>
            </w:pPr>
            <w:r>
              <w:rPr>
                <w:rFonts w:eastAsiaTheme="minorEastAsia"/>
                <w:kern w:val="0"/>
                <w:szCs w:val="21"/>
              </w:rPr>
              <w:t>其他符合性分析</w:t>
            </w:r>
          </w:p>
        </w:tc>
        <w:tc>
          <w:tcPr>
            <w:tcW w:w="6872" w:type="dxa"/>
            <w:gridSpan w:val="3"/>
            <w:vAlign w:val="center"/>
          </w:tcPr>
          <w:p>
            <w:pPr>
              <w:pStyle w:val="31"/>
              <w:ind w:firstLine="480"/>
              <w:rPr>
                <w:rFonts w:eastAsiaTheme="minorEastAsia"/>
                <w:bCs/>
                <w:color w:val="auto"/>
                <w:kern w:val="0"/>
              </w:rPr>
            </w:pPr>
            <w:r>
              <w:rPr>
                <w:rFonts w:eastAsiaTheme="minorEastAsia"/>
                <w:bCs/>
                <w:color w:val="auto"/>
                <w:kern w:val="0"/>
              </w:rPr>
              <w:t>1、选址合理性分析</w:t>
            </w:r>
          </w:p>
          <w:p>
            <w:pPr>
              <w:pStyle w:val="31"/>
              <w:ind w:firstLine="480"/>
              <w:rPr>
                <w:rFonts w:eastAsiaTheme="minorEastAsia"/>
                <w:bCs/>
                <w:color w:val="auto"/>
                <w:kern w:val="0"/>
              </w:rPr>
            </w:pPr>
            <w:r>
              <w:rPr>
                <w:rFonts w:eastAsiaTheme="minorEastAsia"/>
                <w:bCs/>
                <w:color w:val="auto"/>
                <w:kern w:val="0"/>
              </w:rPr>
              <w:t>本项目位于</w:t>
            </w:r>
            <w:r>
              <w:rPr>
                <w:rFonts w:eastAsiaTheme="minorEastAsia"/>
                <w:color w:val="auto"/>
                <w:kern w:val="2"/>
              </w:rPr>
              <w:t>内蒙古自治区</w:t>
            </w:r>
            <w:r>
              <w:rPr>
                <w:rFonts w:eastAsiaTheme="minorEastAsia"/>
                <w:bCs/>
                <w:color w:val="auto"/>
                <w:kern w:val="2"/>
              </w:rPr>
              <w:t>巴彦淖尔市五原县</w:t>
            </w:r>
            <w:r>
              <w:rPr>
                <w:rFonts w:eastAsiaTheme="minorEastAsia"/>
                <w:color w:val="auto"/>
                <w:kern w:val="2"/>
              </w:rPr>
              <w:t>胜丰</w:t>
            </w:r>
            <w:r>
              <w:rPr>
                <w:rFonts w:hint="eastAsia" w:eastAsiaTheme="minorEastAsia"/>
                <w:color w:val="auto"/>
                <w:kern w:val="2"/>
                <w:lang w:eastAsia="zh-CN"/>
              </w:rPr>
              <w:t>镇西圪梁村</w:t>
            </w:r>
            <w:r>
              <w:rPr>
                <w:rFonts w:eastAsiaTheme="minorEastAsia"/>
                <w:bCs/>
                <w:color w:val="auto"/>
                <w:kern w:val="2"/>
              </w:rPr>
              <w:t>，用地性质为农用地</w:t>
            </w:r>
            <w:r>
              <w:rPr>
                <w:rFonts w:eastAsiaTheme="minorEastAsia"/>
                <w:bCs/>
                <w:color w:val="auto"/>
                <w:kern w:val="0"/>
              </w:rPr>
              <w:t>。项目厂址不处在国家法律、法规、行政规章及规划确定或县级以上人民政府批准的饮用水水源保护区、自然保护区、风景名胜区、生态功能保护区等需要特殊保护的地区范围内。且五原县自</w:t>
            </w:r>
            <w:r>
              <w:rPr>
                <w:rFonts w:hint="eastAsia" w:eastAsiaTheme="minorEastAsia"/>
                <w:bCs/>
                <w:color w:val="auto"/>
                <w:kern w:val="0"/>
              </w:rPr>
              <w:t>然</w:t>
            </w:r>
            <w:r>
              <w:rPr>
                <w:rFonts w:eastAsiaTheme="minorEastAsia"/>
                <w:bCs/>
                <w:color w:val="auto"/>
                <w:kern w:val="0"/>
              </w:rPr>
              <w:t>资源局出具了《关于中央储备粮巴彦淖尔直属库有限公司五原分公司粮食仓储项目用地预审和选址意见书的批复》，同意核发用地预审与选址意见书。综上所述，本项目选址合理。</w:t>
            </w:r>
          </w:p>
          <w:p>
            <w:pPr>
              <w:pStyle w:val="31"/>
              <w:ind w:firstLine="480"/>
              <w:rPr>
                <w:rFonts w:eastAsiaTheme="minorEastAsia"/>
                <w:bCs/>
                <w:color w:val="auto"/>
                <w:kern w:val="0"/>
              </w:rPr>
            </w:pPr>
            <w:r>
              <w:rPr>
                <w:rFonts w:eastAsiaTheme="minorEastAsia"/>
                <w:bCs/>
                <w:color w:val="auto"/>
                <w:kern w:val="0"/>
              </w:rPr>
              <w:t>2、“三线一单”符合性</w:t>
            </w:r>
          </w:p>
          <w:p>
            <w:pPr>
              <w:pStyle w:val="36"/>
              <w:spacing w:before="96" w:after="24"/>
              <w:rPr>
                <w:kern w:val="0"/>
              </w:rPr>
            </w:pPr>
            <w:r>
              <w:rPr>
                <w:rFonts w:hint="eastAsia"/>
                <w:kern w:val="0"/>
              </w:rPr>
              <w:t>表1    与《巴彦淖尔市“三线一单”生态环境准入清单》总体要求符合性</w:t>
            </w:r>
          </w:p>
          <w:tbl>
            <w:tblPr>
              <w:tblStyle w:val="18"/>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3503"/>
              <w:gridCol w:w="1733"/>
              <w:gridCol w:w="5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64" w:type="pct"/>
                  <w:vAlign w:val="center"/>
                </w:tcPr>
                <w:p>
                  <w:pPr>
                    <w:pStyle w:val="57"/>
                  </w:pPr>
                  <w:r>
                    <w:t>类别</w:t>
                  </w:r>
                </w:p>
              </w:tc>
              <w:tc>
                <w:tcPr>
                  <w:tcW w:w="2632" w:type="pct"/>
                  <w:vAlign w:val="center"/>
                </w:tcPr>
                <w:p>
                  <w:pPr>
                    <w:pStyle w:val="57"/>
                  </w:pPr>
                  <w:r>
                    <w:t>管控要求</w:t>
                  </w:r>
                </w:p>
              </w:tc>
              <w:tc>
                <w:tcPr>
                  <w:tcW w:w="1302" w:type="pct"/>
                  <w:vAlign w:val="center"/>
                </w:tcPr>
                <w:p>
                  <w:pPr>
                    <w:pStyle w:val="57"/>
                  </w:pPr>
                  <w:r>
                    <w:t>本项目</w:t>
                  </w:r>
                </w:p>
              </w:tc>
              <w:tc>
                <w:tcPr>
                  <w:tcW w:w="402" w:type="pct"/>
                  <w:vAlign w:val="center"/>
                </w:tcPr>
                <w:p>
                  <w:pPr>
                    <w:pStyle w:val="57"/>
                  </w:pPr>
                  <w: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664" w:type="pct"/>
                  <w:vAlign w:val="center"/>
                </w:tcPr>
                <w:p>
                  <w:pPr>
                    <w:pStyle w:val="57"/>
                  </w:pPr>
                  <w:r>
                    <w:rPr>
                      <w:rFonts w:hint="eastAsia"/>
                    </w:rPr>
                    <w:t>总体要求</w:t>
                  </w:r>
                </w:p>
              </w:tc>
              <w:tc>
                <w:tcPr>
                  <w:tcW w:w="2632" w:type="pct"/>
                  <w:vAlign w:val="center"/>
                </w:tcPr>
                <w:p>
                  <w:pPr>
                    <w:pStyle w:val="57"/>
                    <w:jc w:val="both"/>
                    <w:rPr>
                      <w:bCs/>
                    </w:rPr>
                  </w:pPr>
                  <w:r>
                    <w:rPr>
                      <w:bCs/>
                    </w:rPr>
                    <w:t>1、</w:t>
                  </w:r>
                  <w:r>
                    <w:rPr>
                      <w:rFonts w:hint="eastAsia"/>
                      <w:bCs/>
                    </w:rPr>
                    <w:t>除现有化工园区外，不再布局新的化工园区</w:t>
                  </w:r>
                  <w:r>
                    <w:rPr>
                      <w:bCs/>
                    </w:rPr>
                    <w:t>。</w:t>
                  </w:r>
                  <w:r>
                    <w:rPr>
                      <w:rFonts w:hint="eastAsia"/>
                      <w:bCs/>
                    </w:rPr>
                    <w:t>现有园区扩大面积的，要与黄河中上游流域巴彦淖尔段及主要支流岸线至少保持1公里距离。</w:t>
                  </w:r>
                </w:p>
                <w:p>
                  <w:pPr>
                    <w:pStyle w:val="57"/>
                    <w:jc w:val="both"/>
                    <w:rPr>
                      <w:bCs/>
                    </w:rPr>
                  </w:pPr>
                  <w:r>
                    <w:rPr>
                      <w:bCs/>
                    </w:rPr>
                    <w:t>2、新建、改建、扩建“两高”项目须符合生态环境保护法律法规和相关法定规划，满足重点污染物排放总量控制、碳排放达峰目标、生态环境准入清单、相关规划环评和相应行业建设项目环境准入条件、环评文件审批要求。新建、扩建石化、化工、焦化、有色金属冶炼、平板玻璃项目应布设在依法合规设立并经规划环评的产业园区。</w:t>
                  </w:r>
                </w:p>
                <w:p>
                  <w:pPr>
                    <w:pStyle w:val="57"/>
                    <w:jc w:val="both"/>
                    <w:rPr>
                      <w:bCs/>
                    </w:rPr>
                  </w:pPr>
                  <w:r>
                    <w:rPr>
                      <w:rFonts w:hint="eastAsia"/>
                      <w:bCs/>
                    </w:rPr>
                    <w:t>3、建设项目应满足区域、流域控制单元环境质量改善目标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p>
                  <w:pPr>
                    <w:pStyle w:val="57"/>
                    <w:jc w:val="both"/>
                    <w:rPr>
                      <w:bCs/>
                    </w:rPr>
                  </w:pPr>
                  <w:r>
                    <w:rPr>
                      <w:bCs/>
                    </w:rPr>
                    <w:t>4、</w:t>
                  </w:r>
                  <w:r>
                    <w:rPr>
                      <w:rFonts w:hint="eastAsia"/>
                      <w:bCs/>
                    </w:rPr>
                    <w:t>各类园区及建设项目选址必须符合当地国土空间规划。</w:t>
                  </w:r>
                  <w:r>
                    <w:rPr>
                      <w:bCs/>
                    </w:rPr>
                    <w:t>新建工业企业原则上应在工业园区内建设并符合相关规划和园区定位。</w:t>
                  </w:r>
                </w:p>
                <w:p>
                  <w:pPr>
                    <w:pStyle w:val="57"/>
                    <w:jc w:val="both"/>
                    <w:rPr>
                      <w:bCs/>
                    </w:rPr>
                  </w:pPr>
                  <w:r>
                    <w:rPr>
                      <w:rFonts w:hint="eastAsia"/>
                      <w:bCs/>
                    </w:rPr>
                    <w:t>5、新建矿山要全部达到绿色矿山建设标准，生产矿山要按照绿色矿山建设标准加快改造升级,限期达到绿色矿山建设标准。2025年底前,全部矿山达到国家或自治区绿色矿山建设标准,不符合绿色矿山建设标准的矿山企业依法逐步退出市场。</w:t>
                  </w:r>
                </w:p>
                <w:p>
                  <w:pPr>
                    <w:pStyle w:val="57"/>
                    <w:jc w:val="both"/>
                    <w:rPr>
                      <w:bCs/>
                    </w:rPr>
                  </w:pPr>
                  <w:r>
                    <w:rPr>
                      <w:bCs/>
                    </w:rPr>
                    <w:t>6、国家重点生态功能区要严格落实产业准入负面清单要求，在严格保护生态安全的前提下，鼓励和支持市场主体集约高效有序地发展符合主体功能定位的适宜产业；限制类产业要在规模产量、生产工艺、区位布局、清洁生产水平等方面严格执行有关规定，鼓励和引导市场主体对既有项目改造升级、入园入区；禁止类产业要严禁市场主体准入，行政机关不予审批、核准，不得办理有关手续。其他重点开发的城镇和重点生态功能区点状开发的城镇，新建矿产资源开采加工、火电、化工、冶金、有色等重大项目，应实行更加严格的环境标准，相关项目必须符合相应领域的专项规划，必须开展环境影响评价和社会稳定风险评估等，不得损害生态系统的稳定性和完整性。</w:t>
                  </w:r>
                </w:p>
                <w:p>
                  <w:pPr>
                    <w:pStyle w:val="57"/>
                    <w:jc w:val="both"/>
                    <w:rPr>
                      <w:bCs/>
                    </w:rPr>
                  </w:pPr>
                  <w:r>
                    <w:rPr>
                      <w:bCs/>
                    </w:rPr>
                    <w:t>7、畜禽养殖禁养区内不得新建、扩建和改建各类畜禽养殖场，限养区内严格限制新建和扩建各类规模化畜禽养殖场。适养区内现有的各类畜禽养殖场必须落实污染防治措施，对污水、废渣和恶臭应进行定期监测，确保排放的污染物达到《畜禽养殖业污染物排放标准》（GB18596-2001）的限值要求，并符合污染物排放总量控制要求。</w:t>
                  </w:r>
                  <w:r>
                    <w:rPr>
                      <w:rFonts w:hint="eastAsia"/>
                      <w:bCs/>
                    </w:rPr>
                    <w:t>禁养区范围内的已建成的畜禽养殖场（小区）和养殖专业户，由所在地人民政府负责责令限期搬迁、关闭或取缔。</w:t>
                  </w:r>
                </w:p>
                <w:p>
                  <w:pPr>
                    <w:pStyle w:val="57"/>
                    <w:jc w:val="both"/>
                  </w:pPr>
                  <w:r>
                    <w:rPr>
                      <w:bCs/>
                    </w:rPr>
                    <w:t>8、建设对环境有影响的项目，建设单位应当根据国家关于建设项目环境保护分类管理的规定，按照对环境造成影响的程度，组织编制环境影响报告书、环境影响报告表或者填写环境影响登记表。</w:t>
                  </w:r>
                  <w:r>
                    <w:rPr>
                      <w:rFonts w:hint="eastAsia"/>
                      <w:bCs/>
                    </w:rPr>
                    <w:t>严格落实排污许可管理要求，加强排污许可证实施监管，督促企业采取有效措施控制污染物排放，达到排污许可证规定的许可排放量要求。</w:t>
                  </w:r>
                </w:p>
              </w:tc>
              <w:tc>
                <w:tcPr>
                  <w:tcW w:w="1302" w:type="pct"/>
                  <w:vAlign w:val="center"/>
                </w:tcPr>
                <w:p>
                  <w:pPr>
                    <w:pStyle w:val="57"/>
                    <w:jc w:val="both"/>
                  </w:pPr>
                  <w:r>
                    <w:rPr>
                      <w:rFonts w:hint="eastAsia"/>
                    </w:rPr>
                    <w:t>本项目不属于“两高”项目；本项目所在区域属于达标区；本项目属于允许类，不属于产业准入负面清单内。</w:t>
                  </w:r>
                </w:p>
              </w:tc>
              <w:tc>
                <w:tcPr>
                  <w:tcW w:w="402" w:type="pct"/>
                  <w:vAlign w:val="center"/>
                </w:tcPr>
                <w:p>
                  <w:pPr>
                    <w:pStyle w:val="57"/>
                  </w:pPr>
                  <w:r>
                    <w:t>符合</w:t>
                  </w:r>
                </w:p>
              </w:tc>
            </w:tr>
          </w:tbl>
          <w:p>
            <w:pPr>
              <w:pStyle w:val="31"/>
              <w:ind w:firstLine="480"/>
              <w:rPr>
                <w:color w:val="auto"/>
                <w:szCs w:val="24"/>
              </w:rPr>
            </w:pPr>
            <w:r>
              <w:rPr>
                <w:color w:val="auto"/>
                <w:szCs w:val="24"/>
              </w:rPr>
              <w:t>（1）</w:t>
            </w:r>
            <w:r>
              <w:rPr>
                <w:color w:val="auto"/>
              </w:rPr>
              <w:t>生态环境准入清单</w:t>
            </w:r>
          </w:p>
          <w:p>
            <w:pPr>
              <w:pStyle w:val="31"/>
              <w:ind w:firstLine="480"/>
              <w:rPr>
                <w:rFonts w:eastAsiaTheme="minorEastAsia"/>
                <w:color w:val="auto"/>
                <w:kern w:val="2"/>
              </w:rPr>
            </w:pPr>
            <w:r>
              <w:rPr>
                <w:rFonts w:eastAsiaTheme="minorEastAsia"/>
                <w:color w:val="auto"/>
                <w:kern w:val="2"/>
              </w:rPr>
              <w:t>本项目位于内蒙古自治区</w:t>
            </w:r>
            <w:r>
              <w:rPr>
                <w:rFonts w:eastAsiaTheme="minorEastAsia"/>
                <w:bCs/>
                <w:color w:val="auto"/>
                <w:kern w:val="2"/>
              </w:rPr>
              <w:t>巴彦淖尔市五原县</w:t>
            </w:r>
            <w:r>
              <w:rPr>
                <w:rFonts w:eastAsiaTheme="minorEastAsia"/>
                <w:color w:val="auto"/>
                <w:kern w:val="2"/>
              </w:rPr>
              <w:t>胜丰</w:t>
            </w:r>
            <w:r>
              <w:rPr>
                <w:rFonts w:hint="eastAsia" w:eastAsiaTheme="minorEastAsia"/>
                <w:color w:val="auto"/>
                <w:kern w:val="2"/>
                <w:lang w:eastAsia="zh-CN"/>
              </w:rPr>
              <w:t>镇西圪梁村</w:t>
            </w:r>
            <w:r>
              <w:rPr>
                <w:rFonts w:eastAsiaTheme="minorEastAsia"/>
                <w:color w:val="auto"/>
                <w:kern w:val="2"/>
              </w:rPr>
              <w:t>，本项目环境管控单元为五原县其它项目用地，管控类型为重点管控保护单元，环境管控单元编码为</w:t>
            </w:r>
            <w:r>
              <w:rPr>
                <w:color w:val="auto"/>
                <w:szCs w:val="21"/>
              </w:rPr>
              <w:t>ZH15082120004</w:t>
            </w:r>
            <w:r>
              <w:rPr>
                <w:rFonts w:eastAsiaTheme="minorEastAsia"/>
                <w:color w:val="auto"/>
                <w:kern w:val="2"/>
              </w:rPr>
              <w:t>。</w:t>
            </w:r>
          </w:p>
          <w:p>
            <w:pPr>
              <w:adjustRightInd w:val="0"/>
              <w:snapToGrid w:val="0"/>
              <w:spacing w:line="360" w:lineRule="auto"/>
              <w:ind w:firstLine="480" w:firstLineChars="200"/>
              <w:rPr>
                <w:sz w:val="24"/>
              </w:rPr>
            </w:pPr>
            <w:r>
              <w:rPr>
                <w:sz w:val="24"/>
              </w:rPr>
              <w:t>根据巴彦淖尔市生态环境准入清单，本项目与所在环境管控单元符合性分析如下：</w:t>
            </w:r>
          </w:p>
          <w:p>
            <w:pPr>
              <w:pStyle w:val="39"/>
            </w:pPr>
            <w:r>
              <w:t>表</w:t>
            </w:r>
            <w:r>
              <w:rPr>
                <w:rFonts w:hint="eastAsia"/>
              </w:rPr>
              <w:t>2</w:t>
            </w:r>
            <w:r>
              <w:t xml:space="preserve">    本项目与所在环境管控单元符合性分析表</w:t>
            </w:r>
          </w:p>
          <w:tbl>
            <w:tblPr>
              <w:tblStyle w:val="18"/>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3503"/>
              <w:gridCol w:w="1733"/>
              <w:gridCol w:w="5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64" w:type="pct"/>
                  <w:vAlign w:val="center"/>
                </w:tcPr>
                <w:p>
                  <w:pPr>
                    <w:pStyle w:val="57"/>
                  </w:pPr>
                  <w:r>
                    <w:t>类别</w:t>
                  </w:r>
                </w:p>
              </w:tc>
              <w:tc>
                <w:tcPr>
                  <w:tcW w:w="2632" w:type="pct"/>
                  <w:vAlign w:val="center"/>
                </w:tcPr>
                <w:p>
                  <w:pPr>
                    <w:pStyle w:val="57"/>
                  </w:pPr>
                  <w:r>
                    <w:t>管控要求</w:t>
                  </w:r>
                </w:p>
              </w:tc>
              <w:tc>
                <w:tcPr>
                  <w:tcW w:w="1302" w:type="pct"/>
                  <w:vAlign w:val="center"/>
                </w:tcPr>
                <w:p>
                  <w:pPr>
                    <w:pStyle w:val="57"/>
                  </w:pPr>
                  <w:r>
                    <w:t>本项目</w:t>
                  </w:r>
                </w:p>
              </w:tc>
              <w:tc>
                <w:tcPr>
                  <w:tcW w:w="402" w:type="pct"/>
                  <w:vAlign w:val="center"/>
                </w:tcPr>
                <w:p>
                  <w:pPr>
                    <w:pStyle w:val="57"/>
                  </w:pPr>
                  <w: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664" w:type="pct"/>
                  <w:vAlign w:val="center"/>
                </w:tcPr>
                <w:p>
                  <w:pPr>
                    <w:pStyle w:val="57"/>
                  </w:pPr>
                  <w:r>
                    <w:t>空间布局约束</w:t>
                  </w:r>
                </w:p>
              </w:tc>
              <w:tc>
                <w:tcPr>
                  <w:tcW w:w="2632" w:type="pct"/>
                  <w:vAlign w:val="center"/>
                </w:tcPr>
                <w:p>
                  <w:pPr>
                    <w:pStyle w:val="57"/>
                    <w:jc w:val="both"/>
                    <w:rPr>
                      <w:kern w:val="0"/>
                      <w:szCs w:val="20"/>
                    </w:rPr>
                  </w:pPr>
                  <w:r>
                    <w:rPr>
                      <w:kern w:val="0"/>
                      <w:szCs w:val="20"/>
                    </w:rPr>
                    <w:t>1、禁止侵占永久基本农田的生产经营活动。</w:t>
                  </w:r>
                </w:p>
                <w:p>
                  <w:pPr>
                    <w:pStyle w:val="57"/>
                    <w:jc w:val="both"/>
                    <w:rPr>
                      <w:kern w:val="0"/>
                      <w:szCs w:val="20"/>
                    </w:rPr>
                  </w:pPr>
                  <w:r>
                    <w:rPr>
                      <w:kern w:val="0"/>
                      <w:szCs w:val="20"/>
                    </w:rPr>
                    <w:t>2、禁止在禁养区内新建、改建、扩建规模化畜禽养殖项目，现有项目限期关闭或搬迁。</w:t>
                  </w:r>
                </w:p>
                <w:p>
                  <w:pPr>
                    <w:pStyle w:val="57"/>
                    <w:jc w:val="both"/>
                    <w:rPr>
                      <w:kern w:val="0"/>
                      <w:szCs w:val="20"/>
                    </w:rPr>
                  </w:pPr>
                  <w:r>
                    <w:rPr>
                      <w:kern w:val="0"/>
                      <w:szCs w:val="20"/>
                    </w:rPr>
                    <w:t>3、新建、改建、扩建工业项目，必须符合国家和自治区产业指导目录要求、行业技术标准以及规模、投资强度。</w:t>
                  </w:r>
                </w:p>
                <w:p>
                  <w:pPr>
                    <w:pStyle w:val="57"/>
                    <w:jc w:val="both"/>
                    <w:rPr>
                      <w:kern w:val="0"/>
                      <w:szCs w:val="20"/>
                    </w:rPr>
                  </w:pPr>
                  <w:r>
                    <w:rPr>
                      <w:kern w:val="0"/>
                      <w:szCs w:val="20"/>
                    </w:rPr>
                    <w:t>4、大气环境高排放重点管控区内，应强化达标监管，有序推进区域内行业企业提标升级改造。</w:t>
                  </w:r>
                </w:p>
                <w:p>
                  <w:pPr>
                    <w:pStyle w:val="57"/>
                    <w:jc w:val="both"/>
                  </w:pPr>
                  <w:r>
                    <w:t>5、规范病死畜禽无害化处理。集中无害化处理体系健全的地区，在做好动物疫病防控的前提下，原则上养殖场户的病死畜禽应委托专业无害化处理场进行集中处理。山区、牧区、边远地区等暂时不具备集中处理条件的地区自行处理的，要配备与养殖规模相适应的无害化处理设施设备，严格按照相关技术规范进行处理，逐步减少深埋、化尸窖、堆肥等处理方式，确保有效杀灭病原体，清洁安全，不污染环境。</w:t>
                  </w:r>
                </w:p>
              </w:tc>
              <w:tc>
                <w:tcPr>
                  <w:tcW w:w="1302" w:type="pct"/>
                  <w:vAlign w:val="center"/>
                </w:tcPr>
                <w:p>
                  <w:pPr>
                    <w:pStyle w:val="57"/>
                    <w:jc w:val="both"/>
                  </w:pPr>
                  <w:r>
                    <w:rPr>
                      <w:rFonts w:hint="eastAsia"/>
                    </w:rPr>
                    <w:t>本项目位于</w:t>
                  </w:r>
                  <w:r>
                    <w:rPr>
                      <w:rFonts w:eastAsiaTheme="minorEastAsia"/>
                      <w:bCs/>
                    </w:rPr>
                    <w:t>巴彦淖尔市五原县</w:t>
                  </w:r>
                  <w:r>
                    <w:rPr>
                      <w:rFonts w:eastAsiaTheme="minorEastAsia"/>
                    </w:rPr>
                    <w:t>胜丰</w:t>
                  </w:r>
                  <w:r>
                    <w:rPr>
                      <w:rFonts w:hint="eastAsia" w:eastAsiaTheme="minorEastAsia"/>
                      <w:lang w:eastAsia="zh-CN"/>
                    </w:rPr>
                    <w:t>镇西圪梁村</w:t>
                  </w:r>
                  <w:r>
                    <w:rPr>
                      <w:rFonts w:hint="eastAsia" w:eastAsiaTheme="minorEastAsia"/>
                    </w:rPr>
                    <w:t>，根据《关于中央储备粮巴彦淖尔直属库有限公司五原分公司粮食仓储项目用地预审与选址意见书的批复》，本项目占地类型为农用地，不占用基本农田；本项目属于</w:t>
                  </w:r>
                  <w:r>
                    <w:rPr>
                      <w:rFonts w:eastAsiaTheme="minorEastAsia"/>
                      <w:szCs w:val="21"/>
                    </w:rPr>
                    <w:t>热力生产与供应工程（包括建设单位自建自用的供热工程）</w:t>
                  </w:r>
                  <w:r>
                    <w:rPr>
                      <w:rFonts w:hint="eastAsia" w:eastAsiaTheme="minorEastAsia"/>
                      <w:szCs w:val="21"/>
                    </w:rPr>
                    <w:t>，不属于畜禽养殖行业；</w:t>
                  </w:r>
                </w:p>
              </w:tc>
              <w:tc>
                <w:tcPr>
                  <w:tcW w:w="402" w:type="pct"/>
                  <w:vAlign w:val="center"/>
                </w:tcPr>
                <w:p>
                  <w:pPr>
                    <w:pStyle w:val="57"/>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664" w:type="pct"/>
                  <w:vAlign w:val="center"/>
                </w:tcPr>
                <w:p>
                  <w:pPr>
                    <w:pStyle w:val="57"/>
                    <w:rPr>
                      <w:kern w:val="0"/>
                      <w:szCs w:val="20"/>
                    </w:rPr>
                  </w:pPr>
                  <w:r>
                    <w:rPr>
                      <w:kern w:val="0"/>
                      <w:szCs w:val="20"/>
                    </w:rPr>
                    <w:t>污染物排放管控</w:t>
                  </w:r>
                </w:p>
              </w:tc>
              <w:tc>
                <w:tcPr>
                  <w:tcW w:w="2632" w:type="pct"/>
                  <w:vAlign w:val="center"/>
                </w:tcPr>
                <w:p>
                  <w:pPr>
                    <w:pStyle w:val="57"/>
                    <w:jc w:val="both"/>
                    <w:rPr>
                      <w:kern w:val="0"/>
                      <w:szCs w:val="20"/>
                    </w:rPr>
                  </w:pPr>
                  <w:r>
                    <w:rPr>
                      <w:kern w:val="0"/>
                      <w:szCs w:val="20"/>
                    </w:rPr>
                    <w:t>1、鼓励农民增施有机肥，减少化肥使用量，推广高效低毒低残留农药。</w:t>
                  </w:r>
                </w:p>
                <w:p>
                  <w:pPr>
                    <w:pStyle w:val="57"/>
                    <w:jc w:val="both"/>
                  </w:pPr>
                  <w:r>
                    <w:t>2、畜禽养殖粪项目污染物排放应满足《畜禽养殖业污染物排放标准》（GB18596-2001）。</w:t>
                  </w:r>
                </w:p>
              </w:tc>
              <w:tc>
                <w:tcPr>
                  <w:tcW w:w="1302" w:type="pct"/>
                  <w:vAlign w:val="center"/>
                </w:tcPr>
                <w:p>
                  <w:pPr>
                    <w:pStyle w:val="57"/>
                    <w:jc w:val="both"/>
                  </w:pPr>
                  <w:r>
                    <w:rPr>
                      <w:rFonts w:hint="eastAsia"/>
                    </w:rPr>
                    <w:t>不涉及</w:t>
                  </w:r>
                </w:p>
              </w:tc>
              <w:tc>
                <w:tcPr>
                  <w:tcW w:w="402" w:type="pct"/>
                  <w:vAlign w:val="center"/>
                </w:tcPr>
                <w:p>
                  <w:pPr>
                    <w:pStyle w:val="57"/>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664" w:type="pct"/>
                  <w:vAlign w:val="center"/>
                </w:tcPr>
                <w:p>
                  <w:pPr>
                    <w:pStyle w:val="57"/>
                    <w:rPr>
                      <w:kern w:val="0"/>
                      <w:szCs w:val="20"/>
                    </w:rPr>
                  </w:pPr>
                  <w:r>
                    <w:rPr>
                      <w:kern w:val="0"/>
                      <w:szCs w:val="20"/>
                    </w:rPr>
                    <w:t>环境风险防控</w:t>
                  </w:r>
                </w:p>
              </w:tc>
              <w:tc>
                <w:tcPr>
                  <w:tcW w:w="2632" w:type="pct"/>
                  <w:vAlign w:val="center"/>
                </w:tcPr>
                <w:p>
                  <w:pPr>
                    <w:pStyle w:val="57"/>
                    <w:jc w:val="both"/>
                  </w:pPr>
                  <w:r>
                    <w:t>严格环境风险控制，稳妥处置突发水环境污染事件。制定和完善水污染事故处置应急预案，落实责任主体，明确预警预报与响应程序、应急处置及保障措施等内容，依法及时公布预警信息。</w:t>
                  </w:r>
                </w:p>
              </w:tc>
              <w:tc>
                <w:tcPr>
                  <w:tcW w:w="1302" w:type="pct"/>
                  <w:vAlign w:val="center"/>
                </w:tcPr>
                <w:p>
                  <w:pPr>
                    <w:pStyle w:val="57"/>
                    <w:jc w:val="both"/>
                  </w:pPr>
                  <w:r>
                    <w:rPr>
                      <w:rFonts w:hint="eastAsia"/>
                    </w:rPr>
                    <w:t>本项目无生产废水产生。</w:t>
                  </w:r>
                </w:p>
              </w:tc>
              <w:tc>
                <w:tcPr>
                  <w:tcW w:w="402" w:type="pct"/>
                  <w:vAlign w:val="center"/>
                </w:tcPr>
                <w:p>
                  <w:pPr>
                    <w:pStyle w:val="57"/>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664" w:type="pct"/>
                  <w:vAlign w:val="center"/>
                </w:tcPr>
                <w:p>
                  <w:pPr>
                    <w:pStyle w:val="57"/>
                    <w:rPr>
                      <w:kern w:val="0"/>
                      <w:szCs w:val="20"/>
                    </w:rPr>
                  </w:pPr>
                  <w:r>
                    <w:rPr>
                      <w:kern w:val="0"/>
                      <w:szCs w:val="20"/>
                    </w:rPr>
                    <w:t>资源利用效率</w:t>
                  </w:r>
                </w:p>
              </w:tc>
              <w:tc>
                <w:tcPr>
                  <w:tcW w:w="2632" w:type="pct"/>
                  <w:vAlign w:val="center"/>
                </w:tcPr>
                <w:p>
                  <w:pPr>
                    <w:pStyle w:val="57"/>
                    <w:jc w:val="both"/>
                  </w:pPr>
                  <w:r>
                    <w:t>严控地下水超采。禁止私自开采地下水。新建、改建、扩建的高耗水工业项目，禁止擅自使用地下水。食品、制药等项目取用地下水，须经有管理权限的水行政主管部门批准。</w:t>
                  </w:r>
                </w:p>
              </w:tc>
              <w:tc>
                <w:tcPr>
                  <w:tcW w:w="1302" w:type="pct"/>
                  <w:vAlign w:val="center"/>
                </w:tcPr>
                <w:p>
                  <w:pPr>
                    <w:pStyle w:val="57"/>
                    <w:jc w:val="both"/>
                  </w:pPr>
                  <w:r>
                    <w:rPr>
                      <w:rFonts w:hint="eastAsia"/>
                    </w:rPr>
                    <w:t>本项目无生产用水。</w:t>
                  </w:r>
                </w:p>
              </w:tc>
              <w:tc>
                <w:tcPr>
                  <w:tcW w:w="402" w:type="pct"/>
                  <w:vAlign w:val="center"/>
                </w:tcPr>
                <w:p>
                  <w:pPr>
                    <w:pStyle w:val="57"/>
                  </w:pPr>
                  <w:r>
                    <w:rPr>
                      <w:rFonts w:hint="eastAsia"/>
                    </w:rPr>
                    <w:t>符合</w:t>
                  </w:r>
                </w:p>
              </w:tc>
            </w:tr>
          </w:tbl>
          <w:p>
            <w:pPr>
              <w:pStyle w:val="31"/>
              <w:ind w:firstLine="480"/>
              <w:rPr>
                <w:rFonts w:eastAsiaTheme="minorEastAsia"/>
                <w:bCs/>
                <w:color w:val="auto"/>
                <w:kern w:val="0"/>
              </w:rPr>
            </w:pPr>
            <w:r>
              <w:rPr>
                <w:bCs/>
                <w:color w:val="auto"/>
                <w:kern w:val="2"/>
                <w:szCs w:val="24"/>
              </w:rPr>
              <w:t>综上所诉，本项目建设符合</w:t>
            </w:r>
            <w:r>
              <w:rPr>
                <w:color w:val="auto"/>
              </w:rPr>
              <w:t>所在环境管控单元要求。</w:t>
            </w:r>
          </w:p>
          <w:p>
            <w:pPr>
              <w:pStyle w:val="25"/>
              <w:ind w:firstLine="480"/>
              <w:rPr>
                <w:rFonts w:eastAsiaTheme="minorEastAsia"/>
                <w:kern w:val="2"/>
              </w:rPr>
            </w:pPr>
            <w:r>
              <w:rPr>
                <w:rFonts w:eastAsiaTheme="minorEastAsia"/>
                <w:kern w:val="2"/>
              </w:rPr>
              <w:t>（2）生态保护红线</w:t>
            </w:r>
          </w:p>
          <w:p>
            <w:pPr>
              <w:pStyle w:val="25"/>
              <w:ind w:firstLine="480"/>
              <w:rPr>
                <w:szCs w:val="24"/>
              </w:rPr>
            </w:pPr>
            <w:r>
              <w:rPr>
                <w:szCs w:val="24"/>
              </w:rPr>
              <w:t>根据巴彦淖尔市人民政府关于印发《巴彦淖尔市“三线一单”生态环境分区管控方案》的通知（巴政发[2021]9号），巴彦淖尔市全市共划定环境管控单元249个，包括优先保护单元、重点管控单元、一般管控单元三类，实施分类管控。</w:t>
            </w:r>
          </w:p>
          <w:p>
            <w:pPr>
              <w:pStyle w:val="25"/>
              <w:ind w:firstLine="480"/>
              <w:rPr>
                <w:szCs w:val="24"/>
              </w:rPr>
            </w:pPr>
            <w:r>
              <w:rPr>
                <w:szCs w:val="24"/>
              </w:rPr>
              <w:t>（一）优先管控单元。共137个，面积占比68.60%，主要包括我市生态保护红线、自然保护地、集中式饮用水水源保护区等生态功能重要区和生态环境敏感区。该区域以生态环境保护优先为原则，依法禁止和限制大规模、高强度的工业开发和城镇建设，确保生态环境功能不降低。</w:t>
            </w:r>
          </w:p>
          <w:p>
            <w:pPr>
              <w:pStyle w:val="25"/>
              <w:ind w:firstLine="480"/>
              <w:rPr>
                <w:kern w:val="2"/>
              </w:rPr>
            </w:pPr>
            <w:r>
              <w:rPr>
                <w:szCs w:val="24"/>
              </w:rPr>
              <w:t>（二）重点管控单元。共111个，面积占比为31.39%，主要包括工业园区、城市、矿区等开发强度高、污染排放量大、环境问题相对集中的区域，以及生态需水</w:t>
            </w:r>
            <w:r>
              <w:rPr>
                <w:rFonts w:hAnsi="宋体"/>
                <w:kern w:val="2"/>
              </w:rPr>
              <w:t>补给区等。该区域应不断提升资源利用效率，有针对性加强污染物排放控制和环境风险防控，解决生态环境质量不达标、生态环境风险高等问题。</w:t>
            </w:r>
          </w:p>
          <w:p>
            <w:pPr>
              <w:pStyle w:val="25"/>
              <w:ind w:firstLine="480"/>
              <w:rPr>
                <w:kern w:val="2"/>
              </w:rPr>
            </w:pPr>
            <w:r>
              <w:rPr>
                <w:rFonts w:hAnsi="宋体"/>
                <w:kern w:val="2"/>
              </w:rPr>
              <w:t>（三）一般管控单元。共</w:t>
            </w:r>
            <w:r>
              <w:rPr>
                <w:rFonts w:eastAsia="TimesNewRomanPSMT"/>
                <w:kern w:val="2"/>
              </w:rPr>
              <w:t>1</w:t>
            </w:r>
            <w:r>
              <w:rPr>
                <w:rFonts w:hAnsi="宋体"/>
                <w:kern w:val="2"/>
              </w:rPr>
              <w:t>个，面积占比为</w:t>
            </w:r>
            <w:r>
              <w:rPr>
                <w:rFonts w:eastAsia="TimesNewRomanPSMT"/>
                <w:kern w:val="2"/>
              </w:rPr>
              <w:t>0.01%</w:t>
            </w:r>
            <w:r>
              <w:rPr>
                <w:rFonts w:hAnsi="宋体"/>
                <w:kern w:val="2"/>
              </w:rPr>
              <w:t>，优先保护单元、重点管控单元之外为一般管控单元。该区域主要落实生态环境保护基本要求。</w:t>
            </w:r>
          </w:p>
          <w:p>
            <w:pPr>
              <w:pStyle w:val="25"/>
              <w:ind w:firstLine="480"/>
            </w:pPr>
            <w:r>
              <w:rPr>
                <w:rFonts w:hAnsi="宋体"/>
                <w:kern w:val="2"/>
              </w:rPr>
              <w:t>根据《巴彦淖尔市</w:t>
            </w:r>
            <w:r>
              <w:rPr>
                <w:kern w:val="2"/>
              </w:rPr>
              <w:t>“</w:t>
            </w:r>
            <w:r>
              <w:rPr>
                <w:rFonts w:hAnsi="宋体"/>
                <w:kern w:val="2"/>
              </w:rPr>
              <w:t>三线一单</w:t>
            </w:r>
            <w:r>
              <w:rPr>
                <w:kern w:val="2"/>
              </w:rPr>
              <w:t>”</w:t>
            </w:r>
            <w:r>
              <w:rPr>
                <w:rFonts w:hAnsi="宋体"/>
                <w:kern w:val="2"/>
              </w:rPr>
              <w:t>文本》，本项目位于重点管控单元，</w:t>
            </w:r>
            <w:r>
              <w:rPr>
                <w:rStyle w:val="47"/>
                <w:rFonts w:hint="default" w:ascii="Times New Roman"/>
                <w:color w:val="auto"/>
              </w:rPr>
              <w:t>本项目不在自然保护区、风景名胜区、饮用水水源保护区及其他需要特殊保护的区域，项目运行后落实报告提出的各项防治措施及风险防治措施后不会对生态环境造成影响，符合生态保护红线的要求。</w:t>
            </w:r>
            <w:r>
              <w:rPr>
                <w:rFonts w:eastAsiaTheme="minorEastAsia"/>
                <w:bCs/>
                <w:kern w:val="2"/>
              </w:rPr>
              <w:t>本项目在</w:t>
            </w:r>
            <w:r>
              <w:rPr>
                <w:rFonts w:hAnsi="宋体"/>
                <w:kern w:val="2"/>
              </w:rPr>
              <w:t>巴彦淖尔</w:t>
            </w:r>
            <w:r>
              <w:rPr>
                <w:rFonts w:eastAsiaTheme="minorEastAsia"/>
                <w:bCs/>
                <w:kern w:val="2"/>
              </w:rPr>
              <w:t>市环境管控单元的位置见附图2。</w:t>
            </w:r>
          </w:p>
          <w:p>
            <w:pPr>
              <w:pStyle w:val="25"/>
              <w:ind w:firstLine="480"/>
              <w:rPr>
                <w:rFonts w:eastAsiaTheme="minorEastAsia"/>
                <w:kern w:val="2"/>
              </w:rPr>
            </w:pPr>
            <w:r>
              <w:rPr>
                <w:rFonts w:eastAsiaTheme="minorEastAsia"/>
                <w:kern w:val="2"/>
              </w:rPr>
              <w:t>（3）环境质量底线</w:t>
            </w:r>
          </w:p>
          <w:p>
            <w:pPr>
              <w:pStyle w:val="25"/>
              <w:ind w:firstLine="480"/>
              <w:rPr>
                <w:rFonts w:eastAsiaTheme="minorEastAsia"/>
                <w:kern w:val="2"/>
              </w:rPr>
            </w:pPr>
            <w:r>
              <w:rPr>
                <w:rStyle w:val="47"/>
                <w:rFonts w:hint="default"/>
                <w:color w:val="auto"/>
              </w:rPr>
              <w:t>本次环境空气质量现状</w:t>
            </w:r>
            <w:r>
              <w:rPr>
                <w:rStyle w:val="47"/>
                <w:rFonts w:hint="default" w:ascii="Times New Roman"/>
                <w:color w:val="auto"/>
              </w:rPr>
              <w:t>采用</w:t>
            </w:r>
            <w:r>
              <w:rPr>
                <w:rStyle w:val="37"/>
                <w:rFonts w:hint="default" w:ascii="Times New Roman"/>
                <w:color w:val="auto"/>
              </w:rPr>
              <w:t>202</w:t>
            </w:r>
            <w:r>
              <w:rPr>
                <w:rStyle w:val="37"/>
                <w:rFonts w:hint="default" w:ascii="Times New Roman" w:eastAsiaTheme="minorEastAsia"/>
                <w:color w:val="auto"/>
              </w:rPr>
              <w:t>2</w:t>
            </w:r>
            <w:r>
              <w:rPr>
                <w:rStyle w:val="47"/>
                <w:rFonts w:hint="default" w:ascii="Times New Roman"/>
                <w:color w:val="auto"/>
              </w:rPr>
              <w:t>年</w:t>
            </w:r>
            <w:r>
              <w:rPr>
                <w:rStyle w:val="37"/>
                <w:rFonts w:hint="default" w:ascii="Times New Roman"/>
                <w:color w:val="auto"/>
              </w:rPr>
              <w:t>6</w:t>
            </w:r>
            <w:r>
              <w:rPr>
                <w:rStyle w:val="47"/>
                <w:rFonts w:hint="default" w:ascii="Times New Roman"/>
                <w:color w:val="auto"/>
              </w:rPr>
              <w:t>月</w:t>
            </w:r>
            <w:r>
              <w:rPr>
                <w:rStyle w:val="37"/>
                <w:rFonts w:hint="default" w:ascii="Times New Roman" w:eastAsiaTheme="minorEastAsia"/>
                <w:color w:val="auto"/>
              </w:rPr>
              <w:t>1</w:t>
            </w:r>
            <w:r>
              <w:rPr>
                <w:rStyle w:val="47"/>
                <w:rFonts w:hint="default" w:ascii="Times New Roman"/>
                <w:color w:val="auto"/>
              </w:rPr>
              <w:t>日发布的《</w:t>
            </w:r>
            <w:r>
              <w:rPr>
                <w:rStyle w:val="37"/>
                <w:rFonts w:hint="default" w:ascii="Times New Roman"/>
                <w:color w:val="auto"/>
              </w:rPr>
              <w:t>202</w:t>
            </w:r>
            <w:r>
              <w:rPr>
                <w:rStyle w:val="37"/>
                <w:rFonts w:hint="default" w:ascii="Times New Roman" w:eastAsiaTheme="minorEastAsia"/>
                <w:color w:val="auto"/>
              </w:rPr>
              <w:t>1</w:t>
            </w:r>
            <w:r>
              <w:rPr>
                <w:rStyle w:val="47"/>
                <w:rFonts w:hint="default" w:ascii="Times New Roman"/>
                <w:color w:val="auto"/>
              </w:rPr>
              <w:t>年内蒙古自治区生态环境状况公报》中</w:t>
            </w:r>
            <w:r>
              <w:rPr>
                <w:kern w:val="2"/>
              </w:rPr>
              <w:t>巴彦淖</w:t>
            </w:r>
            <w:r>
              <w:rPr>
                <w:rFonts w:hAnsi="宋体"/>
                <w:kern w:val="2"/>
              </w:rPr>
              <w:t>尔市</w:t>
            </w:r>
            <w:r>
              <w:rPr>
                <w:rStyle w:val="47"/>
                <w:rFonts w:hint="default"/>
                <w:color w:val="auto"/>
              </w:rPr>
              <w:t>的环境空气质量监测数据，监测结果表明：项目所在区域城市环境质量达标。项目在严格执行环评“三同时”制度要求的前提下，采取切实可行的环境保护措施，确保废气、废水、固废、噪声均能够达标排放，最大限度的减小对区域环境得影响。</w:t>
            </w:r>
            <w:r>
              <w:rPr>
                <w:rFonts w:eastAsiaTheme="minorEastAsia"/>
                <w:kern w:val="2"/>
              </w:rPr>
              <w:t>因此，本工程的实施符合环境质量底线的要求。</w:t>
            </w:r>
          </w:p>
          <w:p>
            <w:pPr>
              <w:pStyle w:val="25"/>
              <w:ind w:firstLine="480"/>
              <w:rPr>
                <w:rFonts w:eastAsiaTheme="minorEastAsia"/>
                <w:kern w:val="2"/>
              </w:rPr>
            </w:pPr>
            <w:r>
              <w:rPr>
                <w:rFonts w:eastAsiaTheme="minorEastAsia"/>
                <w:kern w:val="2"/>
              </w:rPr>
              <w:t>（4）资源利用上线</w:t>
            </w:r>
          </w:p>
          <w:p>
            <w:pPr>
              <w:pStyle w:val="25"/>
              <w:ind w:firstLine="480"/>
              <w:rPr>
                <w:rFonts w:eastAsiaTheme="minorEastAsia"/>
              </w:rPr>
            </w:pPr>
            <w:r>
              <w:rPr>
                <w:rFonts w:eastAsiaTheme="minorEastAsia"/>
              </w:rPr>
              <w:t>根据工程分析及建设单位提供的资料，本项目不属于资源消耗型项目，运营期不存在大负荷用电、用水、用油等消耗资源的情况，资源消耗量较小，不会超出当地资源利用上线，故符合资源利用上线的要求。</w:t>
            </w:r>
          </w:p>
          <w:p>
            <w:pPr>
              <w:pStyle w:val="25"/>
              <w:ind w:firstLine="480"/>
              <w:rPr>
                <w:rFonts w:eastAsiaTheme="minorEastAsia"/>
              </w:rPr>
            </w:pPr>
            <w:r>
              <w:rPr>
                <w:rFonts w:eastAsiaTheme="minorEastAsia"/>
              </w:rPr>
              <w:t>3、产业政策符合性</w:t>
            </w:r>
          </w:p>
          <w:p>
            <w:pPr>
              <w:pStyle w:val="25"/>
              <w:ind w:firstLine="480"/>
              <w:rPr>
                <w:kern w:val="2"/>
              </w:rPr>
            </w:pPr>
            <w:r>
              <w:rPr>
                <w:rFonts w:eastAsiaTheme="minorEastAsia"/>
              </w:rPr>
              <w:t>本项目为</w:t>
            </w:r>
            <w:r>
              <w:rPr>
                <w:rFonts w:hint="eastAsia" w:eastAsiaTheme="minorEastAsia"/>
              </w:rPr>
              <w:t>粮食仓储和玉米烘干项目</w:t>
            </w:r>
            <w:r>
              <w:rPr>
                <w:rFonts w:eastAsiaTheme="minorEastAsia"/>
              </w:rPr>
              <w:t>，根据</w:t>
            </w:r>
            <w:r>
              <w:rPr>
                <w:kern w:val="2"/>
              </w:rPr>
              <w:t>国家发展改革委第</w:t>
            </w:r>
            <w:r>
              <w:rPr>
                <w:rFonts w:eastAsia="TimesNewRomanPSMT"/>
                <w:kern w:val="2"/>
              </w:rPr>
              <w:t>29</w:t>
            </w:r>
            <w:r>
              <w:rPr>
                <w:kern w:val="2"/>
              </w:rPr>
              <w:t>号令《产业结构调整指导目录（</w:t>
            </w:r>
            <w:r>
              <w:rPr>
                <w:rFonts w:eastAsia="TimesNewRomanPSMT"/>
                <w:kern w:val="2"/>
              </w:rPr>
              <w:t>2019</w:t>
            </w:r>
            <w:r>
              <w:rPr>
                <w:kern w:val="2"/>
              </w:rPr>
              <w:t>年本）》，本项目</w:t>
            </w:r>
            <w:r>
              <w:rPr>
                <w:rFonts w:hint="eastAsia"/>
                <w:kern w:val="2"/>
              </w:rPr>
              <w:t>既不</w:t>
            </w:r>
            <w:r>
              <w:rPr>
                <w:kern w:val="2"/>
              </w:rPr>
              <w:t>属</w:t>
            </w:r>
            <w:r>
              <w:rPr>
                <w:rFonts w:hint="eastAsia"/>
                <w:kern w:val="2"/>
              </w:rPr>
              <w:t>于</w:t>
            </w:r>
            <w:r>
              <w:rPr>
                <w:kern w:val="2"/>
              </w:rPr>
              <w:t>鼓励类</w:t>
            </w:r>
            <w:r>
              <w:rPr>
                <w:rFonts w:hint="eastAsia"/>
                <w:kern w:val="2"/>
              </w:rPr>
              <w:t>也不属于限制类，本项目属于允许类</w:t>
            </w:r>
            <w:r>
              <w:rPr>
                <w:kern w:val="2"/>
              </w:rPr>
              <w:t>。因此，本项目符合国家产业政策要求。</w:t>
            </w:r>
          </w:p>
          <w:p>
            <w:pPr>
              <w:pStyle w:val="25"/>
              <w:ind w:firstLine="480"/>
              <w:rPr>
                <w:kern w:val="2"/>
              </w:rPr>
            </w:pPr>
          </w:p>
          <w:p>
            <w:pPr>
              <w:pStyle w:val="25"/>
              <w:ind w:firstLine="480"/>
              <w:rPr>
                <w:kern w:val="2"/>
              </w:rPr>
            </w:pPr>
          </w:p>
          <w:p>
            <w:pPr>
              <w:pStyle w:val="25"/>
              <w:ind w:firstLine="480"/>
              <w:rPr>
                <w:kern w:val="2"/>
              </w:rPr>
            </w:pPr>
          </w:p>
          <w:p>
            <w:pPr>
              <w:pStyle w:val="25"/>
              <w:ind w:firstLine="480"/>
              <w:rPr>
                <w:kern w:val="2"/>
              </w:rPr>
            </w:pPr>
          </w:p>
          <w:p>
            <w:pPr>
              <w:pStyle w:val="25"/>
              <w:ind w:firstLine="480"/>
              <w:rPr>
                <w:kern w:val="2"/>
              </w:rPr>
            </w:pPr>
          </w:p>
          <w:p>
            <w:pPr>
              <w:pStyle w:val="25"/>
              <w:ind w:firstLine="480"/>
              <w:rPr>
                <w:kern w:val="2"/>
              </w:rPr>
            </w:pPr>
          </w:p>
          <w:p>
            <w:pPr>
              <w:pStyle w:val="25"/>
              <w:ind w:firstLine="480"/>
              <w:rPr>
                <w:kern w:val="2"/>
              </w:rPr>
            </w:pPr>
          </w:p>
          <w:p>
            <w:pPr>
              <w:pStyle w:val="25"/>
              <w:ind w:firstLine="480"/>
              <w:rPr>
                <w:kern w:val="2"/>
              </w:rPr>
            </w:pPr>
          </w:p>
          <w:p>
            <w:pPr>
              <w:pStyle w:val="25"/>
              <w:ind w:firstLine="480"/>
              <w:rPr>
                <w:kern w:val="2"/>
              </w:rPr>
            </w:pPr>
          </w:p>
          <w:p>
            <w:pPr>
              <w:pStyle w:val="25"/>
              <w:ind w:firstLine="480"/>
              <w:rPr>
                <w:kern w:val="2"/>
              </w:rPr>
            </w:pPr>
          </w:p>
          <w:p>
            <w:pPr>
              <w:pStyle w:val="25"/>
              <w:ind w:firstLine="480"/>
              <w:rPr>
                <w:kern w:val="2"/>
              </w:rPr>
            </w:pPr>
          </w:p>
          <w:p>
            <w:pPr>
              <w:pStyle w:val="25"/>
              <w:ind w:firstLine="480"/>
              <w:rPr>
                <w:kern w:val="2"/>
              </w:rPr>
            </w:pPr>
          </w:p>
          <w:p>
            <w:pPr>
              <w:pStyle w:val="25"/>
              <w:ind w:firstLine="480"/>
              <w:rPr>
                <w:kern w:val="2"/>
              </w:rPr>
            </w:pPr>
          </w:p>
          <w:p>
            <w:pPr>
              <w:pStyle w:val="25"/>
              <w:ind w:firstLine="480"/>
              <w:rPr>
                <w:kern w:val="2"/>
              </w:rPr>
            </w:pPr>
          </w:p>
          <w:p>
            <w:pPr>
              <w:pStyle w:val="25"/>
              <w:ind w:firstLine="480"/>
              <w:rPr>
                <w:kern w:val="2"/>
              </w:rPr>
            </w:pPr>
          </w:p>
          <w:p>
            <w:pPr>
              <w:pStyle w:val="25"/>
              <w:ind w:firstLine="480"/>
              <w:rPr>
                <w:rFonts w:eastAsiaTheme="minorEastAsia"/>
              </w:rPr>
            </w:pPr>
          </w:p>
        </w:tc>
      </w:tr>
    </w:tbl>
    <w:p>
      <w:pPr>
        <w:spacing w:line="360" w:lineRule="auto"/>
        <w:ind w:firstLine="600"/>
        <w:outlineLvl w:val="0"/>
        <w:rPr>
          <w:rFonts w:eastAsiaTheme="minorEastAsia"/>
          <w:sz w:val="30"/>
        </w:rPr>
        <w:sectPr>
          <w:footerReference r:id="rId7" w:type="default"/>
          <w:pgSz w:w="11906" w:h="16838"/>
          <w:pgMar w:top="1701" w:right="1531" w:bottom="1701" w:left="1531" w:header="851" w:footer="1077" w:gutter="0"/>
          <w:pgNumType w:start="1"/>
          <w:cols w:space="720" w:num="1"/>
          <w:docGrid w:linePitch="312" w:charSpace="0"/>
        </w:sectPr>
      </w:pPr>
    </w:p>
    <w:p>
      <w:pPr>
        <w:pStyle w:val="14"/>
        <w:keepNext w:val="0"/>
        <w:keepLines w:val="0"/>
        <w:pageBreakBefore w:val="0"/>
        <w:widowControl/>
        <w:kinsoku/>
        <w:wordWrap/>
        <w:overflowPunct/>
        <w:topLinePunct w:val="0"/>
        <w:autoSpaceDE/>
        <w:autoSpaceDN/>
        <w:bidi w:val="0"/>
        <w:adjustRightInd/>
        <w:snapToGrid/>
        <w:ind w:firstLine="0"/>
        <w:jc w:val="center"/>
        <w:textAlignment w:val="auto"/>
        <w:outlineLvl w:val="0"/>
        <w:rPr>
          <w:rFonts w:ascii="Times New Roman" w:hAnsi="Times New Roman" w:eastAsiaTheme="minorEastAsia"/>
          <w:snapToGrid w:val="0"/>
          <w:sz w:val="30"/>
          <w:szCs w:val="30"/>
        </w:rPr>
      </w:pPr>
      <w:r>
        <w:rPr>
          <w:rFonts w:ascii="Times New Roman" w:hAnsi="Times New Roman" w:eastAsiaTheme="minorEastAsia"/>
          <w:snapToGrid w:val="0"/>
          <w:sz w:val="30"/>
          <w:szCs w:val="30"/>
        </w:rPr>
        <w:t>二、建设项目工程分析</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23" w:type="dxa"/>
            <w:vAlign w:val="center"/>
          </w:tcPr>
          <w:p>
            <w:pPr>
              <w:pStyle w:val="14"/>
              <w:adjustRightInd w:val="0"/>
              <w:snapToGrid w:val="0"/>
              <w:spacing w:before="0" w:beforeAutospacing="0" w:after="0" w:afterAutospacing="0"/>
              <w:jc w:val="center"/>
              <w:rPr>
                <w:rFonts w:ascii="Times New Roman" w:hAnsi="Times New Roman" w:eastAsiaTheme="minorEastAsia"/>
                <w:sz w:val="21"/>
                <w:szCs w:val="21"/>
              </w:rPr>
            </w:pPr>
            <w:r>
              <w:rPr>
                <w:rFonts w:ascii="Times New Roman" w:hAnsi="Times New Roman" w:eastAsiaTheme="minorEastAsia"/>
                <w:sz w:val="21"/>
                <w:szCs w:val="21"/>
              </w:rPr>
              <w:t>建设内容</w:t>
            </w:r>
          </w:p>
        </w:tc>
        <w:tc>
          <w:tcPr>
            <w:tcW w:w="8161" w:type="dxa"/>
          </w:tcPr>
          <w:p>
            <w:pPr>
              <w:pStyle w:val="31"/>
              <w:ind w:firstLine="480"/>
              <w:rPr>
                <w:rFonts w:eastAsiaTheme="minorEastAsia"/>
                <w:color w:val="auto"/>
              </w:rPr>
            </w:pPr>
            <w:r>
              <w:rPr>
                <w:rFonts w:ascii="宋体" w:hAnsi="宋体"/>
                <w:color w:val="auto"/>
                <w:kern w:val="2"/>
              </w:rPr>
              <w:t>粮食是关系国计民生的战略商品，粮食安全对保障社会稳定，经济繁荣有着至关重要的作用</w:t>
            </w:r>
            <w:r>
              <w:rPr>
                <w:rFonts w:eastAsiaTheme="minorEastAsia"/>
                <w:bCs/>
                <w:color w:val="auto"/>
                <w:szCs w:val="21"/>
              </w:rPr>
              <w:t>。</w:t>
            </w:r>
            <w:r>
              <w:rPr>
                <w:rFonts w:ascii="宋体" w:hAnsi="宋体"/>
                <w:color w:val="auto"/>
                <w:kern w:val="2"/>
              </w:rPr>
              <w:t>我国既是粮食生产大国，又是粮食消费大国，保障粮食安全的责任越来越重。习近平总书记多次强调粮食储备“在稳市、备荒、恤农方面具有重要作用”，“是保百姓饭碗的粮食”，“要搞好储备调节”</w:t>
            </w:r>
            <w:r>
              <w:rPr>
                <w:rFonts w:hint="eastAsia" w:ascii="宋体" w:hAnsi="宋体"/>
                <w:color w:val="auto"/>
                <w:kern w:val="2"/>
              </w:rPr>
              <w:t>。</w:t>
            </w:r>
            <w:r>
              <w:rPr>
                <w:rFonts w:hint="eastAsia" w:ascii="宋体" w:hAnsi="宋体"/>
                <w:bCs/>
                <w:color w:val="auto"/>
                <w:kern w:val="2"/>
              </w:rPr>
              <w:t>中央储备粮巴彦淖尔直属库有限公司</w:t>
            </w:r>
            <w:r>
              <w:rPr>
                <w:rFonts w:ascii="宋体" w:hAnsi="宋体"/>
                <w:color w:val="auto"/>
                <w:kern w:val="2"/>
              </w:rPr>
              <w:t>始终坚持以维护粮食安全为使命，以服务粮食调控为重大职责</w:t>
            </w:r>
            <w:r>
              <w:rPr>
                <w:rFonts w:hint="eastAsia" w:ascii="宋体" w:hAnsi="宋体"/>
                <w:color w:val="auto"/>
                <w:kern w:val="2"/>
              </w:rPr>
              <w:t>。</w:t>
            </w:r>
            <w:r>
              <w:rPr>
                <w:rFonts w:ascii="宋体" w:hAnsi="宋体"/>
                <w:color w:val="auto"/>
                <w:kern w:val="2"/>
              </w:rPr>
              <w:t>本次建设项目，</w:t>
            </w:r>
            <w:r>
              <w:rPr>
                <w:rFonts w:hint="eastAsia" w:ascii="宋体" w:hAnsi="宋体"/>
                <w:color w:val="auto"/>
                <w:kern w:val="2"/>
              </w:rPr>
              <w:t>旨在</w:t>
            </w:r>
            <w:r>
              <w:rPr>
                <w:rFonts w:ascii="宋体" w:hAnsi="宋体"/>
                <w:color w:val="auto"/>
                <w:kern w:val="2"/>
              </w:rPr>
              <w:t>增强五原县当地粮食储备规模，是保障民生，服务三农的需要，社会效益明显。</w:t>
            </w:r>
          </w:p>
          <w:p>
            <w:pPr>
              <w:pStyle w:val="31"/>
              <w:ind w:firstLine="480"/>
              <w:rPr>
                <w:rFonts w:eastAsiaTheme="minorEastAsia"/>
                <w:color w:val="auto"/>
                <w:szCs w:val="24"/>
              </w:rPr>
            </w:pPr>
            <w:r>
              <w:rPr>
                <w:rFonts w:eastAsiaTheme="minorEastAsia"/>
                <w:color w:val="auto"/>
              </w:rPr>
              <w:t>1、建设规模：</w:t>
            </w:r>
            <w:r>
              <w:rPr>
                <w:rFonts w:hint="eastAsia" w:eastAsiaTheme="minorEastAsia"/>
                <w:color w:val="auto"/>
              </w:rPr>
              <w:t>占地面积131.24亩，建筑总面积27941.25m</w:t>
            </w:r>
            <w:r>
              <w:rPr>
                <w:rFonts w:hint="eastAsia" w:eastAsiaTheme="minorEastAsia"/>
                <w:color w:val="auto"/>
                <w:vertAlign w:val="superscript"/>
              </w:rPr>
              <w:t>2</w:t>
            </w:r>
            <w:r>
              <w:rPr>
                <w:rStyle w:val="24"/>
                <w:rFonts w:eastAsiaTheme="minorEastAsia"/>
                <w:color w:val="auto"/>
                <w:kern w:val="0"/>
                <w:sz w:val="24"/>
                <w:szCs w:val="24"/>
              </w:rPr>
              <w:t>。</w:t>
            </w:r>
          </w:p>
          <w:p>
            <w:pPr>
              <w:pStyle w:val="31"/>
              <w:ind w:firstLine="480"/>
              <w:rPr>
                <w:rFonts w:eastAsiaTheme="minorEastAsia"/>
                <w:color w:val="auto"/>
              </w:rPr>
            </w:pPr>
            <w:r>
              <w:rPr>
                <w:rFonts w:eastAsiaTheme="minorEastAsia"/>
                <w:color w:val="auto"/>
              </w:rPr>
              <w:t>2、占地性质及类型：</w:t>
            </w:r>
            <w:r>
              <w:rPr>
                <w:rFonts w:hint="eastAsia" w:eastAsiaTheme="minorEastAsia"/>
                <w:bCs/>
                <w:color w:val="auto"/>
                <w:szCs w:val="21"/>
              </w:rPr>
              <w:t>土地利用现状为农用地8.7492公顷（耕地7.4249公顷、乔木林地0.5401公顷、沟渠0.6461公顷；农村道路0.1381公顷）</w:t>
            </w:r>
            <w:r>
              <w:rPr>
                <w:rFonts w:eastAsiaTheme="minorEastAsia"/>
                <w:bCs/>
                <w:color w:val="auto"/>
                <w:szCs w:val="21"/>
              </w:rPr>
              <w:t>，土地流</w:t>
            </w:r>
            <w:r>
              <w:rPr>
                <w:rFonts w:hint="eastAsia" w:eastAsiaTheme="minorEastAsia"/>
                <w:bCs/>
                <w:color w:val="auto"/>
                <w:szCs w:val="21"/>
              </w:rPr>
              <w:t>预审与选址意见书批复</w:t>
            </w:r>
            <w:r>
              <w:rPr>
                <w:rFonts w:eastAsiaTheme="minorEastAsia"/>
                <w:bCs/>
                <w:color w:val="auto"/>
                <w:szCs w:val="21"/>
              </w:rPr>
              <w:t>见附件</w:t>
            </w:r>
            <w:r>
              <w:rPr>
                <w:rFonts w:hint="eastAsia" w:eastAsiaTheme="minorEastAsia"/>
                <w:bCs/>
                <w:color w:val="auto"/>
                <w:szCs w:val="21"/>
              </w:rPr>
              <w:t>3，使用林地审核同意书见附件4</w:t>
            </w:r>
            <w:r>
              <w:rPr>
                <w:rFonts w:eastAsiaTheme="minorEastAsia"/>
                <w:bCs/>
                <w:color w:val="auto"/>
                <w:kern w:val="0"/>
              </w:rPr>
              <w:t>。</w:t>
            </w:r>
          </w:p>
          <w:p>
            <w:pPr>
              <w:pStyle w:val="31"/>
              <w:ind w:firstLine="480"/>
              <w:rPr>
                <w:rFonts w:eastAsiaTheme="minorEastAsia"/>
                <w:color w:val="auto"/>
              </w:rPr>
            </w:pPr>
            <w:r>
              <w:rPr>
                <w:rFonts w:eastAsiaTheme="minorEastAsia"/>
                <w:color w:val="auto"/>
              </w:rPr>
              <w:t>3、四邻关系：本项目</w:t>
            </w:r>
            <w:r>
              <w:rPr>
                <w:rFonts w:hint="eastAsia" w:eastAsiaTheme="minorEastAsia"/>
                <w:color w:val="auto"/>
                <w:lang w:eastAsia="zh-CN"/>
              </w:rPr>
              <w:t>厂界外</w:t>
            </w:r>
            <w:r>
              <w:rPr>
                <w:rFonts w:hint="eastAsia" w:eastAsiaTheme="minorEastAsia"/>
                <w:color w:val="auto"/>
              </w:rPr>
              <w:t>200m范围内</w:t>
            </w:r>
            <w:r>
              <w:rPr>
                <w:rFonts w:eastAsiaTheme="minorEastAsia"/>
                <w:color w:val="auto"/>
              </w:rPr>
              <w:t>均为空地，四邻关系图见附图</w:t>
            </w:r>
            <w:r>
              <w:rPr>
                <w:rFonts w:hint="eastAsia" w:eastAsiaTheme="minorEastAsia"/>
                <w:color w:val="auto"/>
              </w:rPr>
              <w:t>4</w:t>
            </w:r>
            <w:r>
              <w:rPr>
                <w:rFonts w:eastAsiaTheme="minorEastAsia"/>
                <w:color w:val="auto"/>
              </w:rPr>
              <w:t>。</w:t>
            </w:r>
          </w:p>
          <w:p>
            <w:pPr>
              <w:pStyle w:val="31"/>
              <w:ind w:firstLine="480"/>
              <w:rPr>
                <w:rFonts w:eastAsiaTheme="minorEastAsia"/>
                <w:color w:val="auto"/>
              </w:rPr>
            </w:pPr>
            <w:r>
              <w:rPr>
                <w:rFonts w:eastAsiaTheme="minorEastAsia"/>
                <w:color w:val="auto"/>
              </w:rPr>
              <w:t>4、建设内容：主要包括</w:t>
            </w:r>
            <w:r>
              <w:rPr>
                <w:rFonts w:hint="eastAsia" w:eastAsiaTheme="minorEastAsia"/>
                <w:color w:val="auto"/>
              </w:rPr>
              <w:t>散装平房仓、烘干塔及办公生活设施、辅助生产配套设施</w:t>
            </w:r>
            <w:r>
              <w:rPr>
                <w:rFonts w:eastAsiaTheme="minorEastAsia"/>
                <w:color w:val="auto"/>
              </w:rPr>
              <w:t>等，具体见下表。</w:t>
            </w:r>
          </w:p>
          <w:p>
            <w:pPr>
              <w:pStyle w:val="36"/>
              <w:spacing w:before="96" w:after="24"/>
              <w:rPr>
                <w:rFonts w:eastAsiaTheme="minorEastAsia"/>
              </w:rPr>
            </w:pPr>
            <w:r>
              <w:rPr>
                <w:rFonts w:eastAsiaTheme="minorEastAsia"/>
              </w:rPr>
              <w:t>表</w:t>
            </w:r>
            <w:r>
              <w:rPr>
                <w:rFonts w:hint="eastAsia" w:eastAsiaTheme="minorEastAsia"/>
              </w:rPr>
              <w:t>3</w:t>
            </w:r>
            <w:r>
              <w:rPr>
                <w:rFonts w:eastAsiaTheme="minorEastAsia"/>
              </w:rPr>
              <w:t xml:space="preserve">    主要建设内容一览表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52"/>
              <w:gridCol w:w="752"/>
              <w:gridCol w:w="66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7" w:hRule="atLeast"/>
                <w:jc w:val="center"/>
              </w:trPr>
              <w:tc>
                <w:tcPr>
                  <w:tcW w:w="348" w:type="pct"/>
                  <w:vAlign w:val="center"/>
                </w:tcPr>
                <w:p>
                  <w:pPr>
                    <w:pStyle w:val="57"/>
                  </w:pPr>
                  <w:r>
                    <w:t>工程类别</w:t>
                  </w:r>
                </w:p>
              </w:tc>
              <w:tc>
                <w:tcPr>
                  <w:tcW w:w="473" w:type="pct"/>
                  <w:vAlign w:val="center"/>
                </w:tcPr>
                <w:p>
                  <w:pPr>
                    <w:pStyle w:val="57"/>
                  </w:pPr>
                  <w:r>
                    <w:t>单项工程名称</w:t>
                  </w:r>
                </w:p>
              </w:tc>
              <w:tc>
                <w:tcPr>
                  <w:tcW w:w="4178" w:type="pct"/>
                  <w:vAlign w:val="center"/>
                </w:tcPr>
                <w:p>
                  <w:pPr>
                    <w:pStyle w:val="57"/>
                  </w:pPr>
                  <w:r>
                    <w:t>工程主要建设内容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48" w:type="pct"/>
                  <w:vMerge w:val="restart"/>
                  <w:vAlign w:val="center"/>
                </w:tcPr>
                <w:p>
                  <w:pPr>
                    <w:pStyle w:val="57"/>
                  </w:pPr>
                  <w:r>
                    <w:t>主体工程</w:t>
                  </w:r>
                </w:p>
              </w:tc>
              <w:tc>
                <w:tcPr>
                  <w:tcW w:w="473" w:type="pct"/>
                  <w:vAlign w:val="center"/>
                </w:tcPr>
                <w:p>
                  <w:pPr>
                    <w:pStyle w:val="57"/>
                  </w:pPr>
                  <w:r>
                    <w:rPr>
                      <w:rFonts w:hint="eastAsia"/>
                    </w:rPr>
                    <w:t>烘干中心</w:t>
                  </w:r>
                </w:p>
              </w:tc>
              <w:tc>
                <w:tcPr>
                  <w:tcW w:w="4178" w:type="pct"/>
                  <w:vAlign w:val="center"/>
                </w:tcPr>
                <w:p>
                  <w:pPr>
                    <w:pStyle w:val="57"/>
                    <w:jc w:val="both"/>
                  </w:pPr>
                  <w:r>
                    <w:rPr>
                      <w:rFonts w:hint="eastAsia"/>
                    </w:rPr>
                    <w:t>占地面积681.31m</w:t>
                  </w:r>
                  <w:r>
                    <w:rPr>
                      <w:rFonts w:hint="eastAsia"/>
                      <w:vertAlign w:val="superscript"/>
                    </w:rPr>
                    <w:t>2</w:t>
                  </w:r>
                  <w:r>
                    <w:rPr>
                      <w:rFonts w:hint="eastAsia"/>
                    </w:rPr>
                    <w:t>，建筑面积277.97m</w:t>
                  </w:r>
                  <w:r>
                    <w:rPr>
                      <w:rFonts w:hint="eastAsia"/>
                      <w:vertAlign w:val="superscript"/>
                    </w:rPr>
                    <w:t>2</w:t>
                  </w:r>
                  <w:r>
                    <w:rPr>
                      <w:rFonts w:hint="eastAsia"/>
                    </w:rPr>
                    <w:t>，烘干能力300t/d，</w:t>
                  </w:r>
                  <w:r>
                    <w:rPr>
                      <w:rFonts w:ascii="宋体" w:hAnsi="宋体" w:cs="宋体"/>
                      <w:kern w:val="0"/>
                      <w:sz w:val="22"/>
                      <w:szCs w:val="22"/>
                    </w:rPr>
                    <w:t>烘干中心采用塔式，烘干塔建设内容包括烘干塔本身以及配套的提升、清理、输送设备。烘干塔尺寸长</w:t>
                  </w:r>
                  <w:r>
                    <w:rPr>
                      <w:rFonts w:hint="eastAsia"/>
                      <w:kern w:val="0"/>
                      <w:sz w:val="22"/>
                      <w:szCs w:val="22"/>
                    </w:rPr>
                    <w:t>3.5</w:t>
                  </w:r>
                  <w:r>
                    <w:rPr>
                      <w:kern w:val="0"/>
                      <w:sz w:val="22"/>
                      <w:szCs w:val="22"/>
                    </w:rPr>
                    <w:t>m</w:t>
                  </w:r>
                  <w:r>
                    <w:rPr>
                      <w:rFonts w:ascii="宋体" w:hAnsi="宋体" w:cs="宋体"/>
                      <w:kern w:val="0"/>
                      <w:sz w:val="22"/>
                      <w:szCs w:val="22"/>
                    </w:rPr>
                    <w:t>×</w:t>
                  </w:r>
                  <w:r>
                    <w:rPr>
                      <w:rFonts w:hint="eastAsia"/>
                      <w:kern w:val="0"/>
                      <w:sz w:val="22"/>
                      <w:szCs w:val="22"/>
                    </w:rPr>
                    <w:t>3.0</w:t>
                  </w:r>
                  <w:r>
                    <w:rPr>
                      <w:kern w:val="0"/>
                      <w:sz w:val="22"/>
                      <w:szCs w:val="22"/>
                    </w:rPr>
                    <w:t>m</w:t>
                  </w:r>
                  <w:r>
                    <w:rPr>
                      <w:rFonts w:ascii="宋体" w:hAnsi="宋体" w:cs="宋体"/>
                      <w:kern w:val="0"/>
                      <w:sz w:val="22"/>
                      <w:szCs w:val="22"/>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48" w:type="pct"/>
                  <w:vMerge w:val="continue"/>
                  <w:vAlign w:val="center"/>
                </w:tcPr>
                <w:p>
                  <w:pPr>
                    <w:pStyle w:val="57"/>
                  </w:pPr>
                </w:p>
              </w:tc>
              <w:tc>
                <w:tcPr>
                  <w:tcW w:w="473" w:type="pct"/>
                  <w:vAlign w:val="center"/>
                </w:tcPr>
                <w:p>
                  <w:pPr>
                    <w:pStyle w:val="57"/>
                  </w:pPr>
                  <w:r>
                    <w:rPr>
                      <w:rFonts w:hint="eastAsia"/>
                    </w:rPr>
                    <w:t>热风炉房</w:t>
                  </w:r>
                </w:p>
              </w:tc>
              <w:tc>
                <w:tcPr>
                  <w:tcW w:w="4178" w:type="pct"/>
                  <w:vAlign w:val="center"/>
                </w:tcPr>
                <w:p>
                  <w:pPr>
                    <w:pStyle w:val="57"/>
                    <w:jc w:val="both"/>
                  </w:pPr>
                  <w:r>
                    <w:rPr>
                      <w:rFonts w:hint="eastAsia"/>
                    </w:rPr>
                    <w:t>占地面积157.92 m</w:t>
                  </w:r>
                  <w:r>
                    <w:rPr>
                      <w:rFonts w:hint="eastAsia"/>
                      <w:vertAlign w:val="superscript"/>
                    </w:rPr>
                    <w:t>2</w:t>
                  </w:r>
                  <w:r>
                    <w:rPr>
                      <w:rFonts w:hint="eastAsia"/>
                    </w:rPr>
                    <w:t>，内置1台6t/h生物质热风炉，燃料为压块生物质，烟囱高度</w:t>
                  </w:r>
                  <w:r>
                    <w:rPr>
                      <w:rFonts w:hint="eastAsia"/>
                      <w:lang w:val="en-US" w:eastAsia="zh-CN"/>
                    </w:rPr>
                    <w:t>1</w:t>
                  </w:r>
                  <w:r>
                    <w:rPr>
                      <w:rFonts w:hint="eastAsia"/>
                    </w:rPr>
                    <w:t>5m。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48" w:type="pct"/>
                  <w:vMerge w:val="restart"/>
                  <w:vAlign w:val="center"/>
                </w:tcPr>
                <w:p>
                  <w:pPr>
                    <w:pStyle w:val="57"/>
                  </w:pPr>
                  <w:r>
                    <w:t>储运工程</w:t>
                  </w:r>
                </w:p>
              </w:tc>
              <w:tc>
                <w:tcPr>
                  <w:tcW w:w="473" w:type="pct"/>
                  <w:vAlign w:val="center"/>
                </w:tcPr>
                <w:p>
                  <w:pPr>
                    <w:pStyle w:val="57"/>
                  </w:pPr>
                  <w:r>
                    <w:rPr>
                      <w:rFonts w:hint="eastAsia"/>
                    </w:rPr>
                    <w:t>散装平房仓</w:t>
                  </w:r>
                </w:p>
              </w:tc>
              <w:tc>
                <w:tcPr>
                  <w:tcW w:w="4178" w:type="pct"/>
                  <w:vAlign w:val="center"/>
                </w:tcPr>
                <w:p>
                  <w:pPr>
                    <w:pStyle w:val="57"/>
                    <w:jc w:val="both"/>
                    <w:rPr>
                      <w:szCs w:val="21"/>
                    </w:rPr>
                  </w:pPr>
                  <w:r>
                    <w:rPr>
                      <w:rFonts w:hint="eastAsia"/>
                      <w:szCs w:val="21"/>
                    </w:rPr>
                    <w:t>占地面积21886.98m</w:t>
                  </w:r>
                  <w:r>
                    <w:rPr>
                      <w:rFonts w:hint="eastAsia"/>
                      <w:szCs w:val="21"/>
                      <w:vertAlign w:val="superscript"/>
                    </w:rPr>
                    <w:t>2</w:t>
                  </w:r>
                  <w:r>
                    <w:rPr>
                      <w:rFonts w:hint="eastAsia"/>
                      <w:szCs w:val="21"/>
                    </w:rPr>
                    <w:t>，建筑面积21886.98m</w:t>
                  </w:r>
                  <w:r>
                    <w:rPr>
                      <w:rFonts w:hint="eastAsia"/>
                      <w:szCs w:val="21"/>
                      <w:vertAlign w:val="superscript"/>
                    </w:rPr>
                    <w:t>2</w:t>
                  </w:r>
                  <w:r>
                    <w:rPr>
                      <w:rFonts w:hint="eastAsia"/>
                      <w:szCs w:val="21"/>
                    </w:rPr>
                    <w:t>，共计6座，总仓容11.4万吨，装粮高度7.5m，主要用于储存烘干后的小麦。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48" w:type="pct"/>
                  <w:vMerge w:val="continue"/>
                  <w:vAlign w:val="center"/>
                </w:tcPr>
                <w:p>
                  <w:pPr>
                    <w:pStyle w:val="57"/>
                  </w:pPr>
                </w:p>
              </w:tc>
              <w:tc>
                <w:tcPr>
                  <w:tcW w:w="473" w:type="pct"/>
                  <w:vAlign w:val="center"/>
                </w:tcPr>
                <w:p>
                  <w:pPr>
                    <w:pStyle w:val="57"/>
                  </w:pPr>
                  <w:r>
                    <w:rPr>
                      <w:rFonts w:hint="eastAsia"/>
                    </w:rPr>
                    <w:t>钢罩棚</w:t>
                  </w:r>
                </w:p>
              </w:tc>
              <w:tc>
                <w:tcPr>
                  <w:tcW w:w="4178" w:type="pct"/>
                  <w:vAlign w:val="center"/>
                </w:tcPr>
                <w:p>
                  <w:pPr>
                    <w:pStyle w:val="57"/>
                    <w:jc w:val="both"/>
                    <w:rPr>
                      <w:szCs w:val="21"/>
                    </w:rPr>
                  </w:pPr>
                  <w:r>
                    <w:rPr>
                      <w:rFonts w:hint="eastAsia"/>
                      <w:szCs w:val="21"/>
                    </w:rPr>
                    <w:t>占地面积2574.32m</w:t>
                  </w:r>
                  <w:r>
                    <w:rPr>
                      <w:rFonts w:hint="eastAsia"/>
                      <w:szCs w:val="21"/>
                      <w:vertAlign w:val="superscript"/>
                    </w:rPr>
                    <w:t>2</w:t>
                  </w:r>
                  <w:r>
                    <w:rPr>
                      <w:rFonts w:hint="eastAsia"/>
                      <w:szCs w:val="21"/>
                    </w:rPr>
                    <w:t>，建筑面积1287.16m</w:t>
                  </w:r>
                  <w:r>
                    <w:rPr>
                      <w:rFonts w:hint="eastAsia"/>
                      <w:szCs w:val="21"/>
                      <w:vertAlign w:val="superscript"/>
                    </w:rPr>
                    <w:t>2</w:t>
                  </w:r>
                  <w:r>
                    <w:rPr>
                      <w:rFonts w:hint="eastAsia"/>
                      <w:szCs w:val="21"/>
                    </w:rPr>
                    <w:t>，1栋，作为烘干中心配套的湿粮仓使用。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48" w:type="pct"/>
                  <w:vMerge w:val="continue"/>
                  <w:vAlign w:val="center"/>
                </w:tcPr>
                <w:p>
                  <w:pPr>
                    <w:pStyle w:val="57"/>
                  </w:pPr>
                </w:p>
              </w:tc>
              <w:tc>
                <w:tcPr>
                  <w:tcW w:w="473" w:type="pct"/>
                  <w:vAlign w:val="center"/>
                </w:tcPr>
                <w:p>
                  <w:pPr>
                    <w:pStyle w:val="57"/>
                  </w:pPr>
                  <w:r>
                    <w:rPr>
                      <w:rFonts w:hint="eastAsia"/>
                    </w:rPr>
                    <w:t>烘干堆场</w:t>
                  </w:r>
                </w:p>
              </w:tc>
              <w:tc>
                <w:tcPr>
                  <w:tcW w:w="4178" w:type="pct"/>
                  <w:vAlign w:val="center"/>
                </w:tcPr>
                <w:p>
                  <w:pPr>
                    <w:pStyle w:val="57"/>
                    <w:jc w:val="both"/>
                    <w:rPr>
                      <w:szCs w:val="21"/>
                    </w:rPr>
                  </w:pPr>
                  <w:r>
                    <w:rPr>
                      <w:rFonts w:hint="eastAsia"/>
                      <w:szCs w:val="21"/>
                    </w:rPr>
                    <w:t>占地面积14275m</w:t>
                  </w:r>
                  <w:r>
                    <w:rPr>
                      <w:rFonts w:hint="eastAsia"/>
                      <w:szCs w:val="21"/>
                      <w:vertAlign w:val="superscript"/>
                    </w:rPr>
                    <w:t>2</w:t>
                  </w:r>
                  <w:r>
                    <w:rPr>
                      <w:rFonts w:hint="eastAsia"/>
                      <w:szCs w:val="21"/>
                    </w:rPr>
                    <w:t>，主要用于临时堆放烘干后的粮食。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48" w:type="pct"/>
                  <w:vMerge w:val="continue"/>
                  <w:vAlign w:val="center"/>
                </w:tcPr>
                <w:p>
                  <w:pPr>
                    <w:pStyle w:val="57"/>
                  </w:pPr>
                </w:p>
              </w:tc>
              <w:tc>
                <w:tcPr>
                  <w:tcW w:w="473" w:type="pct"/>
                  <w:vAlign w:val="center"/>
                </w:tcPr>
                <w:p>
                  <w:pPr>
                    <w:pStyle w:val="57"/>
                  </w:pPr>
                  <w:r>
                    <w:rPr>
                      <w:rFonts w:hint="eastAsia"/>
                    </w:rPr>
                    <w:t>燃料仓</w:t>
                  </w:r>
                </w:p>
              </w:tc>
              <w:tc>
                <w:tcPr>
                  <w:tcW w:w="4178" w:type="pct"/>
                  <w:vAlign w:val="center"/>
                </w:tcPr>
                <w:p>
                  <w:pPr>
                    <w:pStyle w:val="57"/>
                    <w:jc w:val="both"/>
                    <w:rPr>
                      <w:szCs w:val="21"/>
                    </w:rPr>
                  </w:pPr>
                  <w:r>
                    <w:rPr>
                      <w:rFonts w:hint="eastAsia"/>
                      <w:szCs w:val="21"/>
                    </w:rPr>
                    <w:t>占地面积为3.7m×3.7m，位于热风炉房西北，主要用于储存生物质燃料。最大储存量70t。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48" w:type="pct"/>
                  <w:vMerge w:val="continue"/>
                  <w:vAlign w:val="center"/>
                </w:tcPr>
                <w:p>
                  <w:pPr>
                    <w:pStyle w:val="57"/>
                  </w:pPr>
                </w:p>
              </w:tc>
              <w:tc>
                <w:tcPr>
                  <w:tcW w:w="473" w:type="pct"/>
                  <w:vAlign w:val="center"/>
                </w:tcPr>
                <w:p>
                  <w:pPr>
                    <w:pStyle w:val="57"/>
                  </w:pPr>
                  <w:r>
                    <w:rPr>
                      <w:rFonts w:hint="eastAsia"/>
                    </w:rPr>
                    <w:t>灰仓</w:t>
                  </w:r>
                </w:p>
              </w:tc>
              <w:tc>
                <w:tcPr>
                  <w:tcW w:w="4178" w:type="pct"/>
                  <w:vAlign w:val="center"/>
                </w:tcPr>
                <w:p>
                  <w:pPr>
                    <w:pStyle w:val="57"/>
                    <w:jc w:val="both"/>
                    <w:rPr>
                      <w:szCs w:val="21"/>
                    </w:rPr>
                  </w:pPr>
                  <w:r>
                    <w:rPr>
                      <w:rFonts w:hint="eastAsia"/>
                      <w:szCs w:val="21"/>
                    </w:rPr>
                    <w:t>设1间灰渣储存</w:t>
                  </w:r>
                  <w:r>
                    <w:rPr>
                      <w:szCs w:val="21"/>
                    </w:rPr>
                    <w:t>间，占地2.5m</w:t>
                  </w:r>
                  <w:r>
                    <w:rPr>
                      <w:kern w:val="0"/>
                      <w:sz w:val="22"/>
                      <w:szCs w:val="22"/>
                    </w:rPr>
                    <w:t>×2.8m</w:t>
                  </w:r>
                  <w:r>
                    <w:rPr>
                      <w:rFonts w:hint="eastAsia"/>
                      <w:kern w:val="0"/>
                      <w:sz w:val="22"/>
                      <w:szCs w:val="22"/>
                    </w:rPr>
                    <w:t>，主要用于生物质热风炉灰渣储存</w:t>
                  </w:r>
                  <w:r>
                    <w:rPr>
                      <w:rFonts w:hAnsi="宋体"/>
                      <w:kern w:val="0"/>
                      <w:sz w:val="22"/>
                      <w:szCs w:val="22"/>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48" w:type="pct"/>
                  <w:vMerge w:val="continue"/>
                  <w:vAlign w:val="center"/>
                </w:tcPr>
                <w:p>
                  <w:pPr>
                    <w:pStyle w:val="57"/>
                  </w:pPr>
                </w:p>
              </w:tc>
              <w:tc>
                <w:tcPr>
                  <w:tcW w:w="473" w:type="pct"/>
                  <w:vAlign w:val="center"/>
                </w:tcPr>
                <w:p>
                  <w:pPr>
                    <w:pStyle w:val="57"/>
                  </w:pPr>
                  <w:r>
                    <w:rPr>
                      <w:rFonts w:hint="eastAsia"/>
                    </w:rPr>
                    <w:t>下料坑</w:t>
                  </w:r>
                </w:p>
              </w:tc>
              <w:tc>
                <w:tcPr>
                  <w:tcW w:w="4178" w:type="pct"/>
                  <w:vAlign w:val="center"/>
                </w:tcPr>
                <w:p>
                  <w:pPr>
                    <w:pStyle w:val="57"/>
                    <w:jc w:val="both"/>
                    <w:rPr>
                      <w:szCs w:val="21"/>
                    </w:rPr>
                  </w:pPr>
                  <w:r>
                    <w:rPr>
                      <w:rFonts w:hint="eastAsia"/>
                      <w:szCs w:val="21"/>
                    </w:rPr>
                    <w:t>占地50.6m</w:t>
                  </w:r>
                  <w:r>
                    <w:rPr>
                      <w:kern w:val="0"/>
                      <w:sz w:val="22"/>
                      <w:szCs w:val="22"/>
                    </w:rPr>
                    <w:t>×</w:t>
                  </w:r>
                  <w:r>
                    <w:rPr>
                      <w:rFonts w:hint="eastAsia"/>
                      <w:kern w:val="0"/>
                      <w:sz w:val="22"/>
                      <w:szCs w:val="22"/>
                    </w:rPr>
                    <w:t>4.2</w:t>
                  </w:r>
                  <w:r>
                    <w:rPr>
                      <w:kern w:val="0"/>
                      <w:sz w:val="22"/>
                      <w:szCs w:val="22"/>
                    </w:rPr>
                    <w:t>m</w:t>
                  </w:r>
                  <w:r>
                    <w:rPr>
                      <w:rFonts w:hint="eastAsia"/>
                      <w:kern w:val="0"/>
                      <w:sz w:val="22"/>
                      <w:szCs w:val="22"/>
                    </w:rPr>
                    <w:t>，设置在地下，现浇混凝土材质，设置在烘干区域，用于进场粮食卸车暂存。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48" w:type="pct"/>
                  <w:vMerge w:val="continue"/>
                  <w:vAlign w:val="center"/>
                </w:tcPr>
                <w:p>
                  <w:pPr>
                    <w:pStyle w:val="57"/>
                  </w:pPr>
                </w:p>
              </w:tc>
              <w:tc>
                <w:tcPr>
                  <w:tcW w:w="473" w:type="pct"/>
                  <w:vAlign w:val="center"/>
                </w:tcPr>
                <w:p>
                  <w:pPr>
                    <w:pStyle w:val="57"/>
                  </w:pPr>
                  <w:r>
                    <w:rPr>
                      <w:rFonts w:hint="eastAsia"/>
                    </w:rPr>
                    <w:t>药品库</w:t>
                  </w:r>
                </w:p>
              </w:tc>
              <w:tc>
                <w:tcPr>
                  <w:tcW w:w="4178" w:type="pct"/>
                  <w:vAlign w:val="center"/>
                </w:tcPr>
                <w:p>
                  <w:pPr>
                    <w:pStyle w:val="57"/>
                    <w:jc w:val="both"/>
                    <w:rPr>
                      <w:szCs w:val="21"/>
                    </w:rPr>
                  </w:pPr>
                  <w:r>
                    <w:rPr>
                      <w:rFonts w:hint="eastAsia"/>
                      <w:szCs w:val="21"/>
                    </w:rPr>
                    <w:t>占地面积19.75m</w:t>
                  </w:r>
                  <w:r>
                    <w:rPr>
                      <w:rFonts w:hint="eastAsia"/>
                      <w:szCs w:val="21"/>
                      <w:vertAlign w:val="superscript"/>
                    </w:rPr>
                    <w:t>2</w:t>
                  </w:r>
                  <w:r>
                    <w:rPr>
                      <w:rFonts w:hint="eastAsia"/>
                      <w:szCs w:val="21"/>
                    </w:rPr>
                    <w:t>，主要用于存放杀虫剂</w:t>
                  </w:r>
                  <w:r>
                    <w:rPr>
                      <w:rFonts w:hint="eastAsia" w:eastAsiaTheme="minorEastAsia"/>
                    </w:rPr>
                    <w:t>甲基嘧啶磷乳油。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9" w:hRule="atLeast"/>
                <w:jc w:val="center"/>
              </w:trPr>
              <w:tc>
                <w:tcPr>
                  <w:tcW w:w="348" w:type="pct"/>
                  <w:vMerge w:val="restart"/>
                  <w:vAlign w:val="center"/>
                </w:tcPr>
                <w:p>
                  <w:pPr>
                    <w:pStyle w:val="57"/>
                  </w:pPr>
                  <w:r>
                    <w:t>辅助工程</w:t>
                  </w:r>
                </w:p>
              </w:tc>
              <w:tc>
                <w:tcPr>
                  <w:tcW w:w="473" w:type="pct"/>
                  <w:vAlign w:val="center"/>
                </w:tcPr>
                <w:p>
                  <w:pPr>
                    <w:pStyle w:val="57"/>
                  </w:pPr>
                  <w:r>
                    <w:rPr>
                      <w:rFonts w:hint="eastAsia"/>
                    </w:rPr>
                    <w:t>办公楼</w:t>
                  </w:r>
                </w:p>
              </w:tc>
              <w:tc>
                <w:tcPr>
                  <w:tcW w:w="4178" w:type="pct"/>
                  <w:vAlign w:val="center"/>
                </w:tcPr>
                <w:p>
                  <w:pPr>
                    <w:pStyle w:val="57"/>
                    <w:jc w:val="both"/>
                  </w:pPr>
                  <w:r>
                    <w:rPr>
                      <w:rFonts w:hint="eastAsia"/>
                      <w:szCs w:val="21"/>
                    </w:rPr>
                    <w:t>占地面积524.79m</w:t>
                  </w:r>
                  <w:r>
                    <w:rPr>
                      <w:rFonts w:hint="eastAsia"/>
                      <w:szCs w:val="21"/>
                      <w:vertAlign w:val="superscript"/>
                    </w:rPr>
                    <w:t>2</w:t>
                  </w:r>
                  <w:r>
                    <w:rPr>
                      <w:rFonts w:hint="eastAsia"/>
                      <w:szCs w:val="21"/>
                    </w:rPr>
                    <w:t>，建筑面积1049.58m</w:t>
                  </w:r>
                  <w:r>
                    <w:rPr>
                      <w:rFonts w:hint="eastAsia"/>
                      <w:szCs w:val="21"/>
                      <w:vertAlign w:val="superscript"/>
                    </w:rPr>
                    <w:t>2</w:t>
                  </w:r>
                  <w:r>
                    <w:rPr>
                      <w:rFonts w:hint="eastAsia"/>
                      <w:szCs w:val="21"/>
                    </w:rPr>
                    <w:t>，2层钢筋混凝土框架结构，主要用于办公人员办公使用。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9" w:hRule="atLeast"/>
                <w:jc w:val="center"/>
              </w:trPr>
              <w:tc>
                <w:tcPr>
                  <w:tcW w:w="348" w:type="pct"/>
                  <w:vMerge w:val="continue"/>
                  <w:vAlign w:val="center"/>
                </w:tcPr>
                <w:p>
                  <w:pPr>
                    <w:pStyle w:val="57"/>
                  </w:pPr>
                </w:p>
              </w:tc>
              <w:tc>
                <w:tcPr>
                  <w:tcW w:w="473" w:type="pct"/>
                  <w:vAlign w:val="center"/>
                </w:tcPr>
                <w:p>
                  <w:pPr>
                    <w:pStyle w:val="57"/>
                  </w:pPr>
                  <w:r>
                    <w:rPr>
                      <w:rFonts w:hint="eastAsia"/>
                    </w:rPr>
                    <w:t>宿舍楼</w:t>
                  </w:r>
                </w:p>
              </w:tc>
              <w:tc>
                <w:tcPr>
                  <w:tcW w:w="4178" w:type="pct"/>
                  <w:vAlign w:val="center"/>
                </w:tcPr>
                <w:p>
                  <w:pPr>
                    <w:pStyle w:val="57"/>
                    <w:jc w:val="both"/>
                  </w:pPr>
                  <w:r>
                    <w:rPr>
                      <w:rFonts w:hint="eastAsia"/>
                      <w:szCs w:val="21"/>
                    </w:rPr>
                    <w:t>占地面积524.79m</w:t>
                  </w:r>
                  <w:r>
                    <w:rPr>
                      <w:rFonts w:hint="eastAsia"/>
                      <w:szCs w:val="21"/>
                      <w:vertAlign w:val="superscript"/>
                    </w:rPr>
                    <w:t>2</w:t>
                  </w:r>
                  <w:r>
                    <w:rPr>
                      <w:rFonts w:hint="eastAsia"/>
                      <w:szCs w:val="21"/>
                    </w:rPr>
                    <w:t>，建筑面积1574.37m</w:t>
                  </w:r>
                  <w:r>
                    <w:rPr>
                      <w:rFonts w:hint="eastAsia"/>
                      <w:szCs w:val="21"/>
                      <w:vertAlign w:val="superscript"/>
                    </w:rPr>
                    <w:t>2</w:t>
                  </w:r>
                  <w:r>
                    <w:rPr>
                      <w:rFonts w:hint="eastAsia"/>
                      <w:szCs w:val="21"/>
                    </w:rPr>
                    <w:t>，3层钢筋混凝土框架结构，主要用于办公人员住宿。内设1座食堂。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348" w:type="pct"/>
                  <w:vMerge w:val="continue"/>
                  <w:vAlign w:val="center"/>
                </w:tcPr>
                <w:p>
                  <w:pPr>
                    <w:pStyle w:val="57"/>
                  </w:pPr>
                </w:p>
              </w:tc>
              <w:tc>
                <w:tcPr>
                  <w:tcW w:w="473" w:type="pct"/>
                  <w:vAlign w:val="center"/>
                </w:tcPr>
                <w:p>
                  <w:pPr>
                    <w:pStyle w:val="57"/>
                    <w:rPr>
                      <w:rFonts w:hint="eastAsia" w:eastAsia="宋体"/>
                      <w:lang w:eastAsia="zh-CN"/>
                    </w:rPr>
                  </w:pPr>
                  <w:r>
                    <w:rPr>
                      <w:rFonts w:hint="eastAsia"/>
                    </w:rPr>
                    <w:t>一站式</w:t>
                  </w:r>
                  <w:r>
                    <w:rPr>
                      <w:rFonts w:hint="eastAsia"/>
                      <w:lang w:eastAsia="zh-CN"/>
                    </w:rPr>
                    <w:t>办公区</w:t>
                  </w:r>
                </w:p>
              </w:tc>
              <w:tc>
                <w:tcPr>
                  <w:tcW w:w="4178" w:type="pct"/>
                  <w:vAlign w:val="center"/>
                </w:tcPr>
                <w:p>
                  <w:pPr>
                    <w:pStyle w:val="57"/>
                    <w:jc w:val="both"/>
                  </w:pPr>
                  <w:r>
                    <w:rPr>
                      <w:rFonts w:hint="eastAsia"/>
                      <w:szCs w:val="21"/>
                    </w:rPr>
                    <w:t>占地面积301.29m</w:t>
                  </w:r>
                  <w:r>
                    <w:rPr>
                      <w:rFonts w:hint="eastAsia"/>
                      <w:szCs w:val="21"/>
                      <w:vertAlign w:val="superscript"/>
                    </w:rPr>
                    <w:t>2</w:t>
                  </w:r>
                  <w:r>
                    <w:rPr>
                      <w:rFonts w:hint="eastAsia"/>
                      <w:szCs w:val="21"/>
                    </w:rPr>
                    <w:t>，建筑面积301.29m</w:t>
                  </w:r>
                  <w:r>
                    <w:rPr>
                      <w:rFonts w:hint="eastAsia"/>
                      <w:szCs w:val="21"/>
                      <w:vertAlign w:val="superscript"/>
                    </w:rPr>
                    <w:t>2</w:t>
                  </w:r>
                  <w:r>
                    <w:rPr>
                      <w:rFonts w:hint="eastAsia"/>
                      <w:szCs w:val="21"/>
                    </w:rPr>
                    <w:t>，1层钢筋混凝土框架结构，主要包括：安全警示、结算、服务中心叠加、公共卫生间、盥洗室、门卫室、抽检、扦样等功能房间。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348" w:type="pct"/>
                  <w:vMerge w:val="restart"/>
                  <w:vAlign w:val="center"/>
                </w:tcPr>
                <w:p>
                  <w:pPr>
                    <w:pStyle w:val="57"/>
                  </w:pPr>
                  <w:r>
                    <w:t>公用工程</w:t>
                  </w:r>
                </w:p>
              </w:tc>
              <w:tc>
                <w:tcPr>
                  <w:tcW w:w="473" w:type="pct"/>
                  <w:vAlign w:val="center"/>
                </w:tcPr>
                <w:p>
                  <w:pPr>
                    <w:pStyle w:val="57"/>
                  </w:pPr>
                  <w:r>
                    <w:t>供电工程</w:t>
                  </w:r>
                </w:p>
              </w:tc>
              <w:tc>
                <w:tcPr>
                  <w:tcW w:w="4178" w:type="pct"/>
                  <w:vAlign w:val="center"/>
                </w:tcPr>
                <w:p>
                  <w:pPr>
                    <w:pStyle w:val="57"/>
                    <w:jc w:val="both"/>
                  </w:pPr>
                  <w:r>
                    <w:rPr>
                      <w:rFonts w:hint="eastAsia"/>
                    </w:rPr>
                    <w:t>由城镇电网供电，新建1间变配电间。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8" w:type="pct"/>
                  <w:vMerge w:val="continue"/>
                  <w:vAlign w:val="center"/>
                </w:tcPr>
                <w:p>
                  <w:pPr>
                    <w:pStyle w:val="57"/>
                  </w:pPr>
                </w:p>
              </w:tc>
              <w:tc>
                <w:tcPr>
                  <w:tcW w:w="473" w:type="pct"/>
                  <w:vAlign w:val="center"/>
                </w:tcPr>
                <w:p>
                  <w:pPr>
                    <w:pStyle w:val="57"/>
                  </w:pPr>
                  <w:r>
                    <w:t>供热工程</w:t>
                  </w:r>
                </w:p>
              </w:tc>
              <w:tc>
                <w:tcPr>
                  <w:tcW w:w="4178" w:type="pct"/>
                  <w:vAlign w:val="center"/>
                </w:tcPr>
                <w:p>
                  <w:pPr>
                    <w:pStyle w:val="57"/>
                    <w:jc w:val="both"/>
                  </w:pPr>
                  <w:r>
                    <w:rPr>
                      <w:rFonts w:hint="eastAsia"/>
                    </w:rPr>
                    <w:t>本项目粮食烘干采用生物质热风炉供热（直接加热空气，采用热空气干燥），办公住宿取暖采用空气能供暖。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48" w:type="pct"/>
                  <w:vMerge w:val="continue"/>
                  <w:vAlign w:val="center"/>
                </w:tcPr>
                <w:p>
                  <w:pPr>
                    <w:pStyle w:val="57"/>
                  </w:pPr>
                </w:p>
              </w:tc>
              <w:tc>
                <w:tcPr>
                  <w:tcW w:w="473" w:type="pct"/>
                  <w:vAlign w:val="center"/>
                </w:tcPr>
                <w:p>
                  <w:pPr>
                    <w:pStyle w:val="57"/>
                  </w:pPr>
                  <w:r>
                    <w:t>供水工程</w:t>
                  </w:r>
                </w:p>
              </w:tc>
              <w:tc>
                <w:tcPr>
                  <w:tcW w:w="4178" w:type="pct"/>
                  <w:vAlign w:val="center"/>
                </w:tcPr>
                <w:p>
                  <w:pPr>
                    <w:pStyle w:val="57"/>
                    <w:jc w:val="both"/>
                  </w:pPr>
                  <w:r>
                    <w:rPr>
                      <w:rFonts w:hint="eastAsia"/>
                    </w:rPr>
                    <w:t>无生产环节用水，生活用水由自打水井提供。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8" w:hRule="atLeast"/>
                <w:jc w:val="center"/>
              </w:trPr>
              <w:tc>
                <w:tcPr>
                  <w:tcW w:w="348" w:type="pct"/>
                  <w:vMerge w:val="restart"/>
                  <w:vAlign w:val="center"/>
                </w:tcPr>
                <w:p>
                  <w:pPr>
                    <w:pStyle w:val="57"/>
                  </w:pPr>
                  <w:r>
                    <w:t>环保工程</w:t>
                  </w:r>
                </w:p>
              </w:tc>
              <w:tc>
                <w:tcPr>
                  <w:tcW w:w="473" w:type="pct"/>
                  <w:vMerge w:val="restart"/>
                  <w:vAlign w:val="center"/>
                </w:tcPr>
                <w:p>
                  <w:pPr>
                    <w:pStyle w:val="57"/>
                  </w:pPr>
                  <w:r>
                    <w:t>废气</w:t>
                  </w:r>
                </w:p>
              </w:tc>
              <w:tc>
                <w:tcPr>
                  <w:tcW w:w="4178" w:type="pct"/>
                  <w:vAlign w:val="center"/>
                </w:tcPr>
                <w:p>
                  <w:pPr>
                    <w:pStyle w:val="57"/>
                    <w:jc w:val="both"/>
                    <w:rPr>
                      <w:rFonts w:eastAsiaTheme="minorEastAsia"/>
                      <w:bCs/>
                      <w:color w:val="auto"/>
                      <w:szCs w:val="21"/>
                    </w:rPr>
                  </w:pPr>
                  <w:r>
                    <w:rPr>
                      <w:rFonts w:hint="eastAsia" w:eastAsiaTheme="minorEastAsia"/>
                      <w:bCs/>
                      <w:color w:val="auto"/>
                      <w:szCs w:val="21"/>
                    </w:rPr>
                    <w:t>下料坑</w:t>
                  </w:r>
                  <w:r>
                    <w:rPr>
                      <w:rFonts w:eastAsiaTheme="minorEastAsia"/>
                      <w:bCs/>
                      <w:color w:val="auto"/>
                      <w:szCs w:val="21"/>
                    </w:rPr>
                    <w:t>上方设置集气罩</w:t>
                  </w:r>
                  <w:r>
                    <w:rPr>
                      <w:rFonts w:hint="eastAsia" w:eastAsiaTheme="minorEastAsia"/>
                      <w:bCs/>
                      <w:color w:val="auto"/>
                      <w:szCs w:val="21"/>
                    </w:rPr>
                    <w:t>，粉尘经布袋除尘器处理后排放</w:t>
                  </w:r>
                  <w:r>
                    <w:rPr>
                      <w:rFonts w:eastAsiaTheme="minorEastAsia"/>
                      <w:bCs/>
                      <w:color w:val="auto"/>
                      <w:szCs w:val="21"/>
                    </w:rPr>
                    <w:t>，</w:t>
                  </w:r>
                  <w:r>
                    <w:rPr>
                      <w:rFonts w:hint="eastAsia" w:eastAsiaTheme="minorEastAsia"/>
                      <w:bCs/>
                      <w:color w:val="auto"/>
                      <w:szCs w:val="21"/>
                    </w:rPr>
                    <w:t>下料坑为地下结构、现浇混凝土结构。</w:t>
                  </w:r>
                </w:p>
                <w:p>
                  <w:pPr>
                    <w:pStyle w:val="57"/>
                    <w:jc w:val="both"/>
                  </w:pPr>
                  <w:r>
                    <w:rPr>
                      <w:rFonts w:eastAsiaTheme="minorEastAsia"/>
                      <w:bCs/>
                      <w:szCs w:val="21"/>
                    </w:rPr>
                    <w:t>筛分工段采用移动式清理筛对粮食进行初筛，设备自带集气罩、布袋除尘器（效率约99.0%）</w:t>
                  </w:r>
                  <w:r>
                    <w:rPr>
                      <w:rFonts w:hint="eastAsia" w:eastAsiaTheme="minorEastAsia"/>
                      <w:bCs/>
                      <w:szCs w:val="21"/>
                    </w:rPr>
                    <w:t>，粉尘经移动式布袋除尘器处理后排放。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8" w:hRule="atLeast"/>
                <w:jc w:val="center"/>
              </w:trPr>
              <w:tc>
                <w:tcPr>
                  <w:tcW w:w="348" w:type="pct"/>
                  <w:vMerge w:val="continue"/>
                  <w:vAlign w:val="center"/>
                </w:tcPr>
                <w:p>
                  <w:pPr>
                    <w:pStyle w:val="57"/>
                  </w:pPr>
                </w:p>
              </w:tc>
              <w:tc>
                <w:tcPr>
                  <w:tcW w:w="473" w:type="pct"/>
                  <w:vMerge w:val="continue"/>
                  <w:vAlign w:val="center"/>
                </w:tcPr>
                <w:p>
                  <w:pPr>
                    <w:pStyle w:val="57"/>
                  </w:pPr>
                </w:p>
              </w:tc>
              <w:tc>
                <w:tcPr>
                  <w:tcW w:w="4178" w:type="pct"/>
                  <w:vAlign w:val="center"/>
                </w:tcPr>
                <w:p>
                  <w:pPr>
                    <w:pStyle w:val="57"/>
                    <w:jc w:val="both"/>
                    <w:rPr>
                      <w:szCs w:val="21"/>
                    </w:rPr>
                  </w:pPr>
                  <w:r>
                    <w:rPr>
                      <w:rFonts w:hint="eastAsia"/>
                      <w:szCs w:val="21"/>
                    </w:rPr>
                    <w:t>烘干工序产生粉尘经重力沉降后排放。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6" w:hRule="atLeast"/>
                <w:jc w:val="center"/>
              </w:trPr>
              <w:tc>
                <w:tcPr>
                  <w:tcW w:w="348" w:type="pct"/>
                  <w:vMerge w:val="continue"/>
                  <w:vAlign w:val="center"/>
                </w:tcPr>
                <w:p>
                  <w:pPr>
                    <w:pStyle w:val="57"/>
                  </w:pPr>
                </w:p>
              </w:tc>
              <w:tc>
                <w:tcPr>
                  <w:tcW w:w="473" w:type="pct"/>
                  <w:vMerge w:val="continue"/>
                  <w:vAlign w:val="center"/>
                </w:tcPr>
                <w:p>
                  <w:pPr>
                    <w:pStyle w:val="57"/>
                  </w:pPr>
                </w:p>
              </w:tc>
              <w:tc>
                <w:tcPr>
                  <w:tcW w:w="4178" w:type="pct"/>
                  <w:vAlign w:val="center"/>
                </w:tcPr>
                <w:p>
                  <w:pPr>
                    <w:pStyle w:val="57"/>
                    <w:jc w:val="both"/>
                    <w:rPr>
                      <w:szCs w:val="21"/>
                    </w:rPr>
                  </w:pPr>
                  <w:r>
                    <w:rPr>
                      <w:rFonts w:hint="eastAsia"/>
                      <w:szCs w:val="21"/>
                    </w:rPr>
                    <w:t>生物质热风炉废气经布袋除尘器处理后经1根</w:t>
                  </w:r>
                  <w:r>
                    <w:rPr>
                      <w:rFonts w:hint="eastAsia"/>
                      <w:szCs w:val="21"/>
                      <w:lang w:val="en-US" w:eastAsia="zh-CN"/>
                    </w:rPr>
                    <w:t>1</w:t>
                  </w:r>
                  <w:r>
                    <w:rPr>
                      <w:rFonts w:hint="eastAsia"/>
                      <w:szCs w:val="21"/>
                    </w:rPr>
                    <w:t>5m高排气筒排放。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6" w:hRule="atLeast"/>
                <w:jc w:val="center"/>
              </w:trPr>
              <w:tc>
                <w:tcPr>
                  <w:tcW w:w="348" w:type="pct"/>
                  <w:vMerge w:val="continue"/>
                  <w:vAlign w:val="center"/>
                </w:tcPr>
                <w:p>
                  <w:pPr>
                    <w:pStyle w:val="57"/>
                  </w:pPr>
                </w:p>
              </w:tc>
              <w:tc>
                <w:tcPr>
                  <w:tcW w:w="473" w:type="pct"/>
                  <w:vMerge w:val="continue"/>
                  <w:vAlign w:val="center"/>
                </w:tcPr>
                <w:p>
                  <w:pPr>
                    <w:pStyle w:val="57"/>
                  </w:pPr>
                </w:p>
              </w:tc>
              <w:tc>
                <w:tcPr>
                  <w:tcW w:w="4178" w:type="pct"/>
                  <w:vAlign w:val="center"/>
                </w:tcPr>
                <w:p>
                  <w:pPr>
                    <w:pStyle w:val="57"/>
                    <w:jc w:val="both"/>
                    <w:rPr>
                      <w:szCs w:val="21"/>
                    </w:rPr>
                  </w:pPr>
                  <w:r>
                    <w:rPr>
                      <w:rFonts w:hint="eastAsia"/>
                      <w:szCs w:val="21"/>
                    </w:rPr>
                    <w:t>热风炉出灰、卸灰过程中采用喷水降尘措施。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6" w:hRule="atLeast"/>
                <w:jc w:val="center"/>
              </w:trPr>
              <w:tc>
                <w:tcPr>
                  <w:tcW w:w="348" w:type="pct"/>
                  <w:vMerge w:val="continue"/>
                  <w:vAlign w:val="center"/>
                </w:tcPr>
                <w:p>
                  <w:pPr>
                    <w:pStyle w:val="57"/>
                  </w:pPr>
                </w:p>
              </w:tc>
              <w:tc>
                <w:tcPr>
                  <w:tcW w:w="473" w:type="pct"/>
                  <w:vMerge w:val="continue"/>
                  <w:vAlign w:val="center"/>
                </w:tcPr>
                <w:p>
                  <w:pPr>
                    <w:pStyle w:val="57"/>
                  </w:pPr>
                </w:p>
              </w:tc>
              <w:tc>
                <w:tcPr>
                  <w:tcW w:w="4178" w:type="pct"/>
                  <w:vAlign w:val="center"/>
                </w:tcPr>
                <w:p>
                  <w:pPr>
                    <w:pStyle w:val="57"/>
                    <w:jc w:val="both"/>
                    <w:rPr>
                      <w:szCs w:val="21"/>
                    </w:rPr>
                  </w:pPr>
                  <w:r>
                    <w:rPr>
                      <w:rFonts w:hint="eastAsia"/>
                      <w:szCs w:val="21"/>
                    </w:rPr>
                    <w:t>食堂油烟经油烟净化器处理后经专用烟道排放。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4" w:hRule="atLeast"/>
                <w:jc w:val="center"/>
              </w:trPr>
              <w:tc>
                <w:tcPr>
                  <w:tcW w:w="348" w:type="pct"/>
                  <w:vMerge w:val="continue"/>
                  <w:vAlign w:val="center"/>
                </w:tcPr>
                <w:p>
                  <w:pPr>
                    <w:pStyle w:val="57"/>
                  </w:pPr>
                </w:p>
              </w:tc>
              <w:tc>
                <w:tcPr>
                  <w:tcW w:w="473" w:type="pct"/>
                  <w:vAlign w:val="center"/>
                </w:tcPr>
                <w:p>
                  <w:pPr>
                    <w:pStyle w:val="57"/>
                  </w:pPr>
                  <w:r>
                    <w:t>废水</w:t>
                  </w:r>
                </w:p>
              </w:tc>
              <w:tc>
                <w:tcPr>
                  <w:tcW w:w="4178" w:type="pct"/>
                  <w:vAlign w:val="center"/>
                </w:tcPr>
                <w:p>
                  <w:pPr>
                    <w:pStyle w:val="57"/>
                    <w:jc w:val="both"/>
                    <w:rPr>
                      <w:szCs w:val="21"/>
                    </w:rPr>
                  </w:pPr>
                  <w:r>
                    <w:rPr>
                      <w:rFonts w:hint="eastAsia"/>
                      <w:szCs w:val="21"/>
                    </w:rPr>
                    <w:t>无生产废水排放；生活污水经化粪池处理后定期清掏拉运至胜丰镇新红村一社农村生活污水处理厂处理。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8" w:hRule="atLeast"/>
                <w:jc w:val="center"/>
              </w:trPr>
              <w:tc>
                <w:tcPr>
                  <w:tcW w:w="348" w:type="pct"/>
                  <w:vMerge w:val="continue"/>
                  <w:vAlign w:val="center"/>
                </w:tcPr>
                <w:p>
                  <w:pPr>
                    <w:pStyle w:val="57"/>
                  </w:pPr>
                </w:p>
              </w:tc>
              <w:tc>
                <w:tcPr>
                  <w:tcW w:w="473" w:type="pct"/>
                  <w:vAlign w:val="center"/>
                </w:tcPr>
                <w:p>
                  <w:pPr>
                    <w:pStyle w:val="57"/>
                  </w:pPr>
                  <w:r>
                    <w:t>噪声</w:t>
                  </w:r>
                </w:p>
              </w:tc>
              <w:tc>
                <w:tcPr>
                  <w:tcW w:w="4178" w:type="pct"/>
                  <w:vAlign w:val="center"/>
                </w:tcPr>
                <w:p>
                  <w:pPr>
                    <w:pStyle w:val="57"/>
                    <w:jc w:val="both"/>
                    <w:rPr>
                      <w:szCs w:val="21"/>
                    </w:rPr>
                  </w:pPr>
                  <w:r>
                    <w:rPr>
                      <w:rFonts w:hint="eastAsia"/>
                      <w:szCs w:val="21"/>
                    </w:rPr>
                    <w:t>基础减振+厂房隔声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348" w:type="pct"/>
                  <w:vMerge w:val="continue"/>
                  <w:vAlign w:val="center"/>
                </w:tcPr>
                <w:p>
                  <w:pPr>
                    <w:pStyle w:val="57"/>
                  </w:pPr>
                </w:p>
              </w:tc>
              <w:tc>
                <w:tcPr>
                  <w:tcW w:w="473" w:type="pct"/>
                  <w:vMerge w:val="restart"/>
                  <w:vAlign w:val="center"/>
                </w:tcPr>
                <w:p>
                  <w:pPr>
                    <w:pStyle w:val="57"/>
                  </w:pPr>
                  <w:r>
                    <w:t>固废</w:t>
                  </w:r>
                </w:p>
              </w:tc>
              <w:tc>
                <w:tcPr>
                  <w:tcW w:w="4178" w:type="pct"/>
                  <w:vAlign w:val="center"/>
                </w:tcPr>
                <w:p>
                  <w:pPr>
                    <w:pStyle w:val="57"/>
                    <w:jc w:val="both"/>
                  </w:pPr>
                  <w:r>
                    <w:rPr>
                      <w:rFonts w:hint="eastAsia" w:eastAsiaTheme="minorEastAsia"/>
                    </w:rPr>
                    <w:t>粮食初清杂质</w:t>
                  </w:r>
                  <w:r>
                    <w:rPr>
                      <w:rFonts w:eastAsiaTheme="minorEastAsia"/>
                    </w:rPr>
                    <w:t>集中收集</w:t>
                  </w:r>
                  <w:r>
                    <w:rPr>
                      <w:rFonts w:hint="eastAsia" w:eastAsiaTheme="minorEastAsia"/>
                    </w:rPr>
                    <w:t>后暂存于一般固废间</w:t>
                  </w:r>
                  <w:r>
                    <w:rPr>
                      <w:rFonts w:hint="eastAsia"/>
                    </w:rPr>
                    <w:t>（</w:t>
                  </w:r>
                  <w:r>
                    <w:rPr>
                      <w:rFonts w:hint="eastAsia"/>
                      <w:szCs w:val="21"/>
                    </w:rPr>
                    <w:t>占地面积200m</w:t>
                  </w:r>
                  <w:r>
                    <w:rPr>
                      <w:rFonts w:hint="eastAsia"/>
                      <w:szCs w:val="21"/>
                      <w:vertAlign w:val="superscript"/>
                    </w:rPr>
                    <w:t>2</w:t>
                  </w:r>
                  <w:r>
                    <w:rPr>
                      <w:rFonts w:hint="eastAsia"/>
                      <w:szCs w:val="21"/>
                    </w:rPr>
                    <w:t>，地面采取混凝土硬化措施</w:t>
                  </w:r>
                  <w:r>
                    <w:rPr>
                      <w:rFonts w:hint="eastAsia"/>
                    </w:rPr>
                    <w:t>）</w:t>
                  </w:r>
                  <w:r>
                    <w:rPr>
                      <w:rFonts w:hint="eastAsia" w:eastAsiaTheme="minorEastAsia"/>
                    </w:rPr>
                    <w:t>，</w:t>
                  </w:r>
                  <w:r>
                    <w:rPr>
                      <w:rFonts w:eastAsiaTheme="minorEastAsia"/>
                    </w:rPr>
                    <w:t>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0" w:hRule="atLeast"/>
                <w:jc w:val="center"/>
              </w:trPr>
              <w:tc>
                <w:tcPr>
                  <w:tcW w:w="348" w:type="pct"/>
                  <w:vMerge w:val="continue"/>
                  <w:vAlign w:val="center"/>
                </w:tcPr>
                <w:p>
                  <w:pPr>
                    <w:pStyle w:val="57"/>
                  </w:pPr>
                </w:p>
              </w:tc>
              <w:tc>
                <w:tcPr>
                  <w:tcW w:w="473" w:type="pct"/>
                  <w:vMerge w:val="continue"/>
                  <w:vAlign w:val="center"/>
                </w:tcPr>
                <w:p>
                  <w:pPr>
                    <w:pStyle w:val="57"/>
                  </w:pPr>
                </w:p>
              </w:tc>
              <w:tc>
                <w:tcPr>
                  <w:tcW w:w="4178" w:type="pct"/>
                  <w:vAlign w:val="center"/>
                </w:tcPr>
                <w:p>
                  <w:pPr>
                    <w:pStyle w:val="57"/>
                    <w:jc w:val="both"/>
                  </w:pPr>
                  <w:r>
                    <w:rPr>
                      <w:rFonts w:eastAsiaTheme="minorEastAsia"/>
                      <w:bCs/>
                      <w:szCs w:val="21"/>
                    </w:rPr>
                    <w:t>收集灰集中收集</w:t>
                  </w:r>
                  <w:r>
                    <w:rPr>
                      <w:rFonts w:hint="eastAsia" w:eastAsiaTheme="minorEastAsia"/>
                    </w:rPr>
                    <w:t>后暂存于一般固废间</w:t>
                  </w:r>
                  <w:r>
                    <w:rPr>
                      <w:rFonts w:eastAsiaTheme="minorEastAsia"/>
                      <w:bCs/>
                      <w:szCs w:val="21"/>
                    </w:rPr>
                    <w:t>，统一清运处理。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0" w:hRule="atLeast"/>
                <w:jc w:val="center"/>
              </w:trPr>
              <w:tc>
                <w:tcPr>
                  <w:tcW w:w="348" w:type="pct"/>
                  <w:vMerge w:val="continue"/>
                  <w:vAlign w:val="center"/>
                </w:tcPr>
                <w:p>
                  <w:pPr>
                    <w:pStyle w:val="57"/>
                  </w:pPr>
                </w:p>
              </w:tc>
              <w:tc>
                <w:tcPr>
                  <w:tcW w:w="473" w:type="pct"/>
                  <w:vMerge w:val="continue"/>
                  <w:vAlign w:val="center"/>
                </w:tcPr>
                <w:p>
                  <w:pPr>
                    <w:pStyle w:val="57"/>
                  </w:pPr>
                </w:p>
              </w:tc>
              <w:tc>
                <w:tcPr>
                  <w:tcW w:w="4178" w:type="pct"/>
                  <w:vAlign w:val="center"/>
                </w:tcPr>
                <w:p>
                  <w:pPr>
                    <w:pStyle w:val="57"/>
                    <w:jc w:val="both"/>
                  </w:pPr>
                  <w:r>
                    <w:rPr>
                      <w:rFonts w:hint="eastAsia" w:eastAsiaTheme="minorEastAsia"/>
                    </w:rPr>
                    <w:t>生活垃圾</w:t>
                  </w:r>
                  <w:r>
                    <w:rPr>
                      <w:rFonts w:eastAsiaTheme="minorEastAsia"/>
                    </w:rPr>
                    <w:t>分类收集后交由环卫部门处理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5" w:hRule="atLeast"/>
                <w:jc w:val="center"/>
              </w:trPr>
              <w:tc>
                <w:tcPr>
                  <w:tcW w:w="348" w:type="pct"/>
                  <w:vMerge w:val="continue"/>
                  <w:vAlign w:val="center"/>
                </w:tcPr>
                <w:p>
                  <w:pPr>
                    <w:pStyle w:val="57"/>
                  </w:pPr>
                </w:p>
              </w:tc>
              <w:tc>
                <w:tcPr>
                  <w:tcW w:w="473" w:type="pct"/>
                  <w:vMerge w:val="continue"/>
                  <w:vAlign w:val="center"/>
                </w:tcPr>
                <w:p>
                  <w:pPr>
                    <w:pStyle w:val="57"/>
                  </w:pPr>
                </w:p>
              </w:tc>
              <w:tc>
                <w:tcPr>
                  <w:tcW w:w="4178" w:type="pct"/>
                  <w:vAlign w:val="center"/>
                </w:tcPr>
                <w:p>
                  <w:pPr>
                    <w:pStyle w:val="57"/>
                    <w:jc w:val="both"/>
                  </w:pPr>
                  <w:r>
                    <w:rPr>
                      <w:rFonts w:eastAsiaTheme="minorEastAsia"/>
                      <w:bCs/>
                      <w:szCs w:val="21"/>
                    </w:rPr>
                    <w:t>热风炉灰渣</w:t>
                  </w:r>
                  <w:r>
                    <w:rPr>
                      <w:rFonts w:hint="eastAsia" w:eastAsiaTheme="minorEastAsia"/>
                      <w:bCs/>
                      <w:szCs w:val="21"/>
                    </w:rPr>
                    <w:t>用收容袋收集后，</w:t>
                  </w:r>
                  <w:r>
                    <w:rPr>
                      <w:rFonts w:eastAsiaTheme="minorEastAsia"/>
                      <w:bCs/>
                      <w:szCs w:val="21"/>
                    </w:rPr>
                    <w:t>暂存于灰仓中，外售综合利用。</w:t>
                  </w:r>
                </w:p>
              </w:tc>
            </w:tr>
          </w:tbl>
          <w:p>
            <w:pPr>
              <w:adjustRightInd w:val="0"/>
              <w:snapToGrid w:val="0"/>
              <w:spacing w:line="360" w:lineRule="auto"/>
              <w:ind w:firstLine="420"/>
              <w:jc w:val="left"/>
              <w:rPr>
                <w:rFonts w:eastAsiaTheme="minorEastAsia"/>
                <w:bCs/>
                <w:szCs w:val="21"/>
              </w:rPr>
            </w:pPr>
          </w:p>
          <w:p>
            <w:pPr>
              <w:pStyle w:val="31"/>
              <w:ind w:firstLine="480"/>
              <w:rPr>
                <w:rFonts w:eastAsiaTheme="minorEastAsia"/>
                <w:color w:val="auto"/>
              </w:rPr>
            </w:pPr>
            <w:r>
              <w:rPr>
                <w:rFonts w:eastAsiaTheme="minorEastAsia"/>
                <w:color w:val="auto"/>
              </w:rPr>
              <w:t>5、劳动定员及工作制度</w:t>
            </w:r>
          </w:p>
          <w:p>
            <w:pPr>
              <w:pStyle w:val="31"/>
              <w:ind w:firstLine="480"/>
              <w:rPr>
                <w:rFonts w:eastAsiaTheme="minorEastAsia"/>
                <w:color w:val="auto"/>
              </w:rPr>
            </w:pPr>
            <w:r>
              <w:rPr>
                <w:rFonts w:hint="eastAsia" w:eastAsiaTheme="minorEastAsia"/>
                <w:color w:val="auto"/>
              </w:rPr>
              <w:t>设置</w:t>
            </w:r>
            <w:r>
              <w:rPr>
                <w:rFonts w:eastAsiaTheme="minorEastAsia"/>
                <w:color w:val="auto"/>
              </w:rPr>
              <w:t>劳动定员</w:t>
            </w:r>
            <w:r>
              <w:rPr>
                <w:rFonts w:hint="eastAsia" w:eastAsiaTheme="minorEastAsia"/>
                <w:color w:val="auto"/>
              </w:rPr>
              <w:t>25</w:t>
            </w:r>
            <w:r>
              <w:rPr>
                <w:rFonts w:eastAsiaTheme="minorEastAsia"/>
                <w:color w:val="auto"/>
              </w:rPr>
              <w:t>人，年工作制度为3</w:t>
            </w:r>
            <w:r>
              <w:rPr>
                <w:rFonts w:hint="eastAsia" w:eastAsiaTheme="minorEastAsia"/>
                <w:color w:val="auto"/>
              </w:rPr>
              <w:t>00</w:t>
            </w:r>
            <w:r>
              <w:rPr>
                <w:rFonts w:eastAsiaTheme="minorEastAsia"/>
                <w:color w:val="auto"/>
              </w:rPr>
              <w:t>d，</w:t>
            </w:r>
            <w:r>
              <w:rPr>
                <w:rFonts w:hint="eastAsia" w:eastAsiaTheme="minorEastAsia"/>
                <w:color w:val="auto"/>
              </w:rPr>
              <w:t>每天工作8</w:t>
            </w:r>
            <w:r>
              <w:rPr>
                <w:rFonts w:eastAsiaTheme="minorEastAsia"/>
                <w:color w:val="auto"/>
              </w:rPr>
              <w:t>小时。</w:t>
            </w:r>
            <w:r>
              <w:rPr>
                <w:rFonts w:hint="eastAsia" w:eastAsiaTheme="minorEastAsia"/>
                <w:color w:val="auto"/>
              </w:rPr>
              <w:t>其中烘干中心年运行时间为80天，年生产小时数1920小时。</w:t>
            </w:r>
          </w:p>
          <w:p>
            <w:pPr>
              <w:pStyle w:val="31"/>
              <w:ind w:firstLine="480"/>
              <w:rPr>
                <w:rFonts w:eastAsiaTheme="minorEastAsia"/>
                <w:bCs/>
                <w:color w:val="auto"/>
                <w:szCs w:val="21"/>
              </w:rPr>
            </w:pPr>
            <w:r>
              <w:rPr>
                <w:rFonts w:eastAsiaTheme="minorEastAsia"/>
                <w:bCs/>
                <w:color w:val="auto"/>
                <w:szCs w:val="21"/>
              </w:rPr>
              <w:t>6、产品方案</w:t>
            </w:r>
          </w:p>
          <w:p>
            <w:pPr>
              <w:pStyle w:val="31"/>
              <w:ind w:firstLine="480"/>
              <w:rPr>
                <w:rFonts w:eastAsiaTheme="minorEastAsia"/>
                <w:bCs/>
                <w:color w:val="auto"/>
                <w:szCs w:val="21"/>
              </w:rPr>
            </w:pPr>
            <w:r>
              <w:rPr>
                <w:rFonts w:eastAsiaTheme="minorEastAsia"/>
                <w:bCs/>
                <w:color w:val="auto"/>
                <w:szCs w:val="21"/>
              </w:rPr>
              <w:t>项目产品方案及生产规模见下表。</w:t>
            </w:r>
          </w:p>
          <w:p>
            <w:pPr>
              <w:pStyle w:val="36"/>
              <w:spacing w:before="96" w:after="24"/>
            </w:pPr>
            <w:r>
              <w:t>表</w:t>
            </w:r>
            <w:r>
              <w:rPr>
                <w:rFonts w:hint="eastAsia"/>
              </w:rPr>
              <w:t>4</w:t>
            </w:r>
            <w:r>
              <w:t xml:space="preserve">    项目产品方案一览表</w:t>
            </w:r>
          </w:p>
          <w:tbl>
            <w:tblPr>
              <w:tblStyle w:val="1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80"/>
              <w:gridCol w:w="1322"/>
              <w:gridCol w:w="988"/>
              <w:gridCol w:w="38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0" w:type="pct"/>
                  <w:vAlign w:val="center"/>
                </w:tcPr>
                <w:p>
                  <w:pPr>
                    <w:pStyle w:val="57"/>
                  </w:pPr>
                  <w:r>
                    <w:t>产品名称</w:t>
                  </w:r>
                </w:p>
              </w:tc>
              <w:tc>
                <w:tcPr>
                  <w:tcW w:w="832" w:type="pct"/>
                  <w:vAlign w:val="center"/>
                </w:tcPr>
                <w:p>
                  <w:pPr>
                    <w:pStyle w:val="57"/>
                  </w:pPr>
                  <w:r>
                    <w:t>年</w:t>
                  </w:r>
                  <w:r>
                    <w:rPr>
                      <w:rFonts w:hint="eastAsia"/>
                    </w:rPr>
                    <w:t>仓储</w:t>
                  </w:r>
                  <w:r>
                    <w:t>量</w:t>
                  </w:r>
                </w:p>
              </w:tc>
              <w:tc>
                <w:tcPr>
                  <w:tcW w:w="622" w:type="pct"/>
                  <w:vAlign w:val="center"/>
                </w:tcPr>
                <w:p>
                  <w:pPr>
                    <w:pStyle w:val="57"/>
                  </w:pPr>
                  <w:r>
                    <w:t>单位</w:t>
                  </w:r>
                </w:p>
              </w:tc>
              <w:tc>
                <w:tcPr>
                  <w:tcW w:w="2426" w:type="pct"/>
                  <w:vAlign w:val="center"/>
                </w:tcPr>
                <w:p>
                  <w:pPr>
                    <w:pStyle w:val="57"/>
                  </w:pPr>
                  <w: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20" w:type="pct"/>
                  <w:vAlign w:val="center"/>
                </w:tcPr>
                <w:p>
                  <w:pPr>
                    <w:pStyle w:val="57"/>
                  </w:pPr>
                  <w:r>
                    <w:rPr>
                      <w:rFonts w:hint="eastAsia"/>
                    </w:rPr>
                    <w:t>小麦</w:t>
                  </w:r>
                </w:p>
              </w:tc>
              <w:tc>
                <w:tcPr>
                  <w:tcW w:w="832" w:type="pct"/>
                  <w:vAlign w:val="center"/>
                </w:tcPr>
                <w:p>
                  <w:pPr>
                    <w:pStyle w:val="57"/>
                  </w:pPr>
                  <w:r>
                    <w:rPr>
                      <w:rFonts w:hint="eastAsia"/>
                    </w:rPr>
                    <w:t>6446</w:t>
                  </w:r>
                </w:p>
              </w:tc>
              <w:tc>
                <w:tcPr>
                  <w:tcW w:w="622" w:type="pct"/>
                  <w:vAlign w:val="center"/>
                </w:tcPr>
                <w:p>
                  <w:pPr>
                    <w:pStyle w:val="57"/>
                  </w:pPr>
                  <w:r>
                    <w:rPr>
                      <w:rFonts w:hint="eastAsia"/>
                    </w:rPr>
                    <w:t>t/a</w:t>
                  </w:r>
                </w:p>
              </w:tc>
              <w:tc>
                <w:tcPr>
                  <w:tcW w:w="2426" w:type="pct"/>
                  <w:vAlign w:val="center"/>
                </w:tcPr>
                <w:p>
                  <w:pPr>
                    <w:pStyle w:val="57"/>
                  </w:pPr>
                  <w:r>
                    <w:rPr>
                      <w:rFonts w:hint="eastAsia"/>
                    </w:rPr>
                    <w:t>含水率≤14%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20" w:type="pct"/>
                  <w:vAlign w:val="center"/>
                </w:tcPr>
                <w:p>
                  <w:pPr>
                    <w:pStyle w:val="57"/>
                  </w:pPr>
                  <w:r>
                    <w:rPr>
                      <w:rFonts w:hint="eastAsia"/>
                    </w:rPr>
                    <w:t>玉米</w:t>
                  </w:r>
                </w:p>
              </w:tc>
              <w:tc>
                <w:tcPr>
                  <w:tcW w:w="832" w:type="pct"/>
                  <w:vAlign w:val="center"/>
                </w:tcPr>
                <w:p>
                  <w:pPr>
                    <w:pStyle w:val="57"/>
                  </w:pPr>
                  <w:r>
                    <w:rPr>
                      <w:rFonts w:hint="eastAsia"/>
                    </w:rPr>
                    <w:t>24164</w:t>
                  </w:r>
                </w:p>
              </w:tc>
              <w:tc>
                <w:tcPr>
                  <w:tcW w:w="622" w:type="pct"/>
                  <w:vAlign w:val="center"/>
                </w:tcPr>
                <w:p>
                  <w:pPr>
                    <w:pStyle w:val="57"/>
                  </w:pPr>
                  <w:r>
                    <w:rPr>
                      <w:rFonts w:hint="eastAsia"/>
                    </w:rPr>
                    <w:t>t/a</w:t>
                  </w:r>
                </w:p>
              </w:tc>
              <w:tc>
                <w:tcPr>
                  <w:tcW w:w="2426" w:type="pct"/>
                  <w:vAlign w:val="center"/>
                </w:tcPr>
                <w:p>
                  <w:pPr>
                    <w:pStyle w:val="57"/>
                  </w:pPr>
                  <w:r>
                    <w:rPr>
                      <w:rFonts w:hint="eastAsia"/>
                    </w:rPr>
                    <w:t>含水率≤14%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pPr>
                    <w:pStyle w:val="57"/>
                  </w:pPr>
                  <w:r>
                    <w:rPr>
                      <w:rFonts w:hint="eastAsia"/>
                    </w:rPr>
                    <w:t>备注：玉米收购约30000t/a（含水率30%），小麦收购约8000t/a（含水率30%）。</w:t>
                  </w:r>
                </w:p>
              </w:tc>
            </w:tr>
          </w:tbl>
          <w:p>
            <w:pPr>
              <w:pStyle w:val="31"/>
              <w:spacing w:beforeLines="50"/>
              <w:ind w:firstLine="480"/>
              <w:rPr>
                <w:rFonts w:eastAsiaTheme="minorEastAsia"/>
                <w:bCs/>
                <w:color w:val="auto"/>
                <w:szCs w:val="21"/>
              </w:rPr>
            </w:pPr>
            <w:r>
              <w:rPr>
                <w:rFonts w:eastAsiaTheme="minorEastAsia"/>
                <w:bCs/>
                <w:color w:val="auto"/>
                <w:szCs w:val="21"/>
              </w:rPr>
              <w:t>7、原辅材料</w:t>
            </w:r>
          </w:p>
          <w:p>
            <w:pPr>
              <w:pStyle w:val="31"/>
              <w:ind w:firstLine="480"/>
              <w:rPr>
                <w:rFonts w:eastAsiaTheme="minorEastAsia"/>
                <w:bCs/>
                <w:color w:val="auto"/>
                <w:szCs w:val="21"/>
              </w:rPr>
            </w:pPr>
            <w:r>
              <w:rPr>
                <w:rFonts w:eastAsiaTheme="minorEastAsia"/>
                <w:bCs/>
                <w:color w:val="auto"/>
                <w:szCs w:val="21"/>
              </w:rPr>
              <w:t>本项目原辅材料用量见下表。</w:t>
            </w:r>
          </w:p>
          <w:p>
            <w:pPr>
              <w:pStyle w:val="36"/>
              <w:spacing w:before="96" w:after="24"/>
              <w:rPr>
                <w:rFonts w:eastAsiaTheme="minorEastAsia"/>
              </w:rPr>
            </w:pPr>
            <w:r>
              <w:rPr>
                <w:rFonts w:eastAsiaTheme="minorEastAsia"/>
                <w:szCs w:val="21"/>
              </w:rPr>
              <w:t>表</w:t>
            </w:r>
            <w:r>
              <w:rPr>
                <w:rFonts w:hint="eastAsia" w:eastAsiaTheme="minorEastAsia"/>
                <w:szCs w:val="21"/>
              </w:rPr>
              <w:t>5</w:t>
            </w:r>
            <w:r>
              <w:rPr>
                <w:rFonts w:eastAsiaTheme="minorEastAsia"/>
                <w:szCs w:val="21"/>
              </w:rPr>
              <w:t xml:space="preserve">    原辅材料用量、性质、资源能源消耗情况一览表</w:t>
            </w:r>
          </w:p>
          <w:tbl>
            <w:tblPr>
              <w:tblStyle w:val="1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725"/>
              <w:gridCol w:w="1407"/>
              <w:gridCol w:w="1459"/>
              <w:gridCol w:w="1447"/>
              <w:gridCol w:w="22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pPr>
                    <w:adjustRightInd w:val="0"/>
                    <w:snapToGrid w:val="0"/>
                    <w:spacing w:line="360" w:lineRule="exact"/>
                    <w:jc w:val="center"/>
                    <w:rPr>
                      <w:rFonts w:eastAsiaTheme="minorEastAsia"/>
                      <w:szCs w:val="21"/>
                    </w:rPr>
                  </w:pPr>
                  <w:bookmarkStart w:id="2" w:name="OLE_LINK1"/>
                  <w:r>
                    <w:rPr>
                      <w:rFonts w:eastAsiaTheme="minorEastAsia"/>
                      <w:szCs w:val="21"/>
                    </w:rPr>
                    <w:t>类别</w:t>
                  </w:r>
                </w:p>
              </w:tc>
              <w:tc>
                <w:tcPr>
                  <w:tcW w:w="456" w:type="pct"/>
                  <w:vAlign w:val="center"/>
                </w:tcPr>
                <w:p>
                  <w:pPr>
                    <w:adjustRightInd w:val="0"/>
                    <w:snapToGrid w:val="0"/>
                    <w:spacing w:line="360" w:lineRule="exact"/>
                    <w:jc w:val="center"/>
                    <w:rPr>
                      <w:rFonts w:eastAsiaTheme="minorEastAsia"/>
                      <w:szCs w:val="21"/>
                    </w:rPr>
                  </w:pPr>
                  <w:r>
                    <w:rPr>
                      <w:rFonts w:eastAsiaTheme="minorEastAsia"/>
                      <w:szCs w:val="21"/>
                    </w:rPr>
                    <w:t>序号</w:t>
                  </w:r>
                </w:p>
              </w:tc>
              <w:tc>
                <w:tcPr>
                  <w:tcW w:w="885" w:type="pct"/>
                  <w:vAlign w:val="center"/>
                </w:tcPr>
                <w:p>
                  <w:pPr>
                    <w:adjustRightInd w:val="0"/>
                    <w:snapToGrid w:val="0"/>
                    <w:spacing w:line="360" w:lineRule="exact"/>
                    <w:jc w:val="center"/>
                    <w:rPr>
                      <w:rFonts w:eastAsiaTheme="minorEastAsia"/>
                      <w:szCs w:val="21"/>
                    </w:rPr>
                  </w:pPr>
                  <w:r>
                    <w:rPr>
                      <w:rFonts w:eastAsiaTheme="minorEastAsia"/>
                      <w:szCs w:val="21"/>
                    </w:rPr>
                    <w:t>名称</w:t>
                  </w:r>
                </w:p>
              </w:tc>
              <w:tc>
                <w:tcPr>
                  <w:tcW w:w="918" w:type="pct"/>
                  <w:vAlign w:val="center"/>
                </w:tcPr>
                <w:p>
                  <w:pPr>
                    <w:adjustRightInd w:val="0"/>
                    <w:snapToGrid w:val="0"/>
                    <w:spacing w:line="360" w:lineRule="exact"/>
                    <w:jc w:val="center"/>
                    <w:rPr>
                      <w:rFonts w:eastAsiaTheme="minorEastAsia"/>
                      <w:szCs w:val="21"/>
                    </w:rPr>
                  </w:pPr>
                  <w:r>
                    <w:rPr>
                      <w:rFonts w:eastAsiaTheme="minorEastAsia"/>
                      <w:szCs w:val="21"/>
                    </w:rPr>
                    <w:t>用量</w:t>
                  </w:r>
                  <w:r>
                    <w:rPr>
                      <w:rFonts w:eastAsiaTheme="minorEastAsia"/>
                    </w:rPr>
                    <w:t>t/a</w:t>
                  </w:r>
                </w:p>
              </w:tc>
              <w:tc>
                <w:tcPr>
                  <w:tcW w:w="910" w:type="pct"/>
                  <w:vAlign w:val="center"/>
                </w:tcPr>
                <w:p>
                  <w:pPr>
                    <w:adjustRightInd w:val="0"/>
                    <w:snapToGrid w:val="0"/>
                    <w:spacing w:line="360" w:lineRule="exact"/>
                    <w:jc w:val="center"/>
                    <w:rPr>
                      <w:rFonts w:eastAsiaTheme="minorEastAsia"/>
                      <w:szCs w:val="21"/>
                    </w:rPr>
                  </w:pPr>
                  <w:r>
                    <w:rPr>
                      <w:rFonts w:eastAsiaTheme="minorEastAsia"/>
                      <w:szCs w:val="21"/>
                    </w:rPr>
                    <w:t>来源</w:t>
                  </w:r>
                </w:p>
              </w:tc>
              <w:tc>
                <w:tcPr>
                  <w:tcW w:w="1422" w:type="pct"/>
                </w:tcPr>
                <w:p>
                  <w:pPr>
                    <w:adjustRightInd w:val="0"/>
                    <w:snapToGrid w:val="0"/>
                    <w:spacing w:line="360" w:lineRule="exact"/>
                    <w:jc w:val="center"/>
                    <w:rPr>
                      <w:rFonts w:eastAsiaTheme="minorEastAsia"/>
                      <w:szCs w:val="21"/>
                    </w:rPr>
                  </w:pPr>
                  <w:r>
                    <w:rPr>
                      <w:rFonts w:hint="eastAsia" w:eastAsiaTheme="minorEastAsia"/>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pPr>
                    <w:adjustRightInd w:val="0"/>
                    <w:snapToGrid w:val="0"/>
                    <w:spacing w:line="360" w:lineRule="exact"/>
                    <w:jc w:val="center"/>
                    <w:rPr>
                      <w:rFonts w:eastAsiaTheme="minorEastAsia"/>
                      <w:szCs w:val="21"/>
                    </w:rPr>
                  </w:pPr>
                  <w:r>
                    <w:rPr>
                      <w:rFonts w:hint="eastAsia" w:eastAsiaTheme="minorEastAsia"/>
                      <w:szCs w:val="21"/>
                    </w:rPr>
                    <w:t>燃料</w:t>
                  </w:r>
                </w:p>
              </w:tc>
              <w:tc>
                <w:tcPr>
                  <w:tcW w:w="456" w:type="pct"/>
                  <w:vAlign w:val="center"/>
                </w:tcPr>
                <w:p>
                  <w:pPr>
                    <w:adjustRightInd w:val="0"/>
                    <w:snapToGrid w:val="0"/>
                    <w:spacing w:line="360" w:lineRule="exact"/>
                    <w:jc w:val="center"/>
                    <w:rPr>
                      <w:rFonts w:eastAsiaTheme="minorEastAsia"/>
                      <w:szCs w:val="21"/>
                    </w:rPr>
                  </w:pPr>
                  <w:r>
                    <w:rPr>
                      <w:rFonts w:eastAsiaTheme="minorEastAsia"/>
                      <w:szCs w:val="21"/>
                    </w:rPr>
                    <w:t>1</w:t>
                  </w:r>
                </w:p>
              </w:tc>
              <w:tc>
                <w:tcPr>
                  <w:tcW w:w="885" w:type="pct"/>
                  <w:vAlign w:val="center"/>
                </w:tcPr>
                <w:p>
                  <w:pPr>
                    <w:widowControl/>
                    <w:adjustRightInd w:val="0"/>
                    <w:snapToGrid w:val="0"/>
                    <w:spacing w:line="360" w:lineRule="exact"/>
                    <w:jc w:val="center"/>
                    <w:rPr>
                      <w:rFonts w:eastAsiaTheme="minorEastAsia"/>
                      <w:szCs w:val="21"/>
                    </w:rPr>
                  </w:pPr>
                  <w:r>
                    <w:rPr>
                      <w:rFonts w:hint="eastAsia" w:eastAsiaTheme="minorEastAsia"/>
                      <w:szCs w:val="21"/>
                    </w:rPr>
                    <w:t>生物质燃料</w:t>
                  </w:r>
                </w:p>
              </w:tc>
              <w:tc>
                <w:tcPr>
                  <w:tcW w:w="918" w:type="pct"/>
                  <w:vAlign w:val="center"/>
                </w:tcPr>
                <w:p>
                  <w:pPr>
                    <w:adjustRightInd w:val="0"/>
                    <w:snapToGrid w:val="0"/>
                    <w:spacing w:line="360" w:lineRule="exact"/>
                    <w:jc w:val="center"/>
                    <w:rPr>
                      <w:rFonts w:eastAsiaTheme="minorEastAsia"/>
                    </w:rPr>
                  </w:pPr>
                  <w:r>
                    <w:rPr>
                      <w:rFonts w:hint="eastAsia" w:eastAsiaTheme="minorEastAsia"/>
                    </w:rPr>
                    <w:t>1360</w:t>
                  </w:r>
                </w:p>
              </w:tc>
              <w:tc>
                <w:tcPr>
                  <w:tcW w:w="910" w:type="pct"/>
                  <w:vAlign w:val="center"/>
                </w:tcPr>
                <w:p>
                  <w:pPr>
                    <w:adjustRightInd w:val="0"/>
                    <w:snapToGrid w:val="0"/>
                    <w:spacing w:line="360" w:lineRule="exact"/>
                    <w:jc w:val="center"/>
                    <w:rPr>
                      <w:rFonts w:eastAsiaTheme="minorEastAsia"/>
                      <w:szCs w:val="21"/>
                    </w:rPr>
                  </w:pPr>
                  <w:r>
                    <w:rPr>
                      <w:rFonts w:hint="eastAsia" w:eastAsiaTheme="minorEastAsia"/>
                      <w:szCs w:val="21"/>
                    </w:rPr>
                    <w:t>外购</w:t>
                  </w:r>
                </w:p>
              </w:tc>
              <w:tc>
                <w:tcPr>
                  <w:tcW w:w="1422" w:type="pct"/>
                </w:tcPr>
                <w:p>
                  <w:pPr>
                    <w:adjustRightInd w:val="0"/>
                    <w:snapToGrid w:val="0"/>
                    <w:spacing w:line="360" w:lineRule="exact"/>
                    <w:jc w:val="center"/>
                    <w:rPr>
                      <w:rFonts w:eastAsiaTheme="minorEastAsia"/>
                      <w:szCs w:val="21"/>
                    </w:rPr>
                  </w:pPr>
                  <w:r>
                    <w:rPr>
                      <w:bCs/>
                      <w:szCs w:val="21"/>
                    </w:rPr>
                    <w:t>外购</w:t>
                  </w:r>
                  <w:r>
                    <w:rPr>
                      <w:rFonts w:hint="eastAsia"/>
                      <w:bCs/>
                      <w:szCs w:val="21"/>
                    </w:rPr>
                    <w:t>成型生物质燃料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7" w:type="pct"/>
                  <w:vMerge w:val="restart"/>
                  <w:vAlign w:val="center"/>
                </w:tcPr>
                <w:p>
                  <w:pPr>
                    <w:adjustRightInd w:val="0"/>
                    <w:snapToGrid w:val="0"/>
                    <w:spacing w:line="360" w:lineRule="exact"/>
                    <w:jc w:val="center"/>
                    <w:rPr>
                      <w:rFonts w:eastAsiaTheme="minorEastAsia"/>
                      <w:szCs w:val="21"/>
                    </w:rPr>
                  </w:pPr>
                  <w:r>
                    <w:rPr>
                      <w:rFonts w:eastAsiaTheme="minorEastAsia"/>
                      <w:szCs w:val="21"/>
                    </w:rPr>
                    <w:t>资源能源</w:t>
                  </w:r>
                </w:p>
              </w:tc>
              <w:tc>
                <w:tcPr>
                  <w:tcW w:w="456" w:type="pct"/>
                  <w:vAlign w:val="center"/>
                </w:tcPr>
                <w:p>
                  <w:pPr>
                    <w:adjustRightInd w:val="0"/>
                    <w:snapToGrid w:val="0"/>
                    <w:spacing w:line="360" w:lineRule="exact"/>
                    <w:jc w:val="center"/>
                    <w:rPr>
                      <w:rFonts w:eastAsiaTheme="minorEastAsia"/>
                      <w:szCs w:val="21"/>
                    </w:rPr>
                  </w:pPr>
                  <w:r>
                    <w:rPr>
                      <w:rFonts w:eastAsiaTheme="minorEastAsia"/>
                      <w:szCs w:val="21"/>
                    </w:rPr>
                    <w:t>2</w:t>
                  </w:r>
                </w:p>
              </w:tc>
              <w:tc>
                <w:tcPr>
                  <w:tcW w:w="885" w:type="pct"/>
                  <w:vAlign w:val="center"/>
                </w:tcPr>
                <w:p>
                  <w:pPr>
                    <w:widowControl/>
                    <w:adjustRightInd w:val="0"/>
                    <w:snapToGrid w:val="0"/>
                    <w:spacing w:line="360" w:lineRule="exact"/>
                    <w:jc w:val="center"/>
                    <w:rPr>
                      <w:rFonts w:eastAsiaTheme="minorEastAsia"/>
                      <w:szCs w:val="21"/>
                    </w:rPr>
                  </w:pPr>
                  <w:r>
                    <w:rPr>
                      <w:rFonts w:eastAsiaTheme="minorEastAsia"/>
                      <w:szCs w:val="21"/>
                    </w:rPr>
                    <w:t>水</w:t>
                  </w:r>
                </w:p>
              </w:tc>
              <w:tc>
                <w:tcPr>
                  <w:tcW w:w="918" w:type="pct"/>
                  <w:vAlign w:val="center"/>
                </w:tcPr>
                <w:p>
                  <w:pPr>
                    <w:adjustRightInd w:val="0"/>
                    <w:snapToGrid w:val="0"/>
                    <w:spacing w:line="360" w:lineRule="exact"/>
                    <w:jc w:val="center"/>
                    <w:rPr>
                      <w:rFonts w:eastAsiaTheme="minorEastAsia"/>
                      <w:szCs w:val="21"/>
                      <w:highlight w:val="yellow"/>
                    </w:rPr>
                  </w:pPr>
                  <w:r>
                    <w:rPr>
                      <w:rFonts w:hint="eastAsia" w:eastAsiaTheme="minorEastAsia"/>
                    </w:rPr>
                    <w:t>6</w:t>
                  </w:r>
                  <w:r>
                    <w:rPr>
                      <w:rFonts w:hint="eastAsia" w:eastAsiaTheme="minorEastAsia"/>
                      <w:lang w:val="en-US" w:eastAsia="zh-CN"/>
                    </w:rPr>
                    <w:t>00</w:t>
                  </w:r>
                  <w:r>
                    <w:rPr>
                      <w:rFonts w:eastAsiaTheme="minorEastAsia"/>
                    </w:rPr>
                    <w:t>m</w:t>
                  </w:r>
                  <w:r>
                    <w:rPr>
                      <w:rFonts w:eastAsiaTheme="minorEastAsia"/>
                      <w:vertAlign w:val="superscript"/>
                    </w:rPr>
                    <w:t>3</w:t>
                  </w:r>
                  <w:r>
                    <w:rPr>
                      <w:rFonts w:eastAsiaTheme="minorEastAsia"/>
                    </w:rPr>
                    <w:t>/a</w:t>
                  </w:r>
                </w:p>
              </w:tc>
              <w:tc>
                <w:tcPr>
                  <w:tcW w:w="910" w:type="pct"/>
                  <w:vAlign w:val="center"/>
                </w:tcPr>
                <w:p>
                  <w:pPr>
                    <w:adjustRightInd w:val="0"/>
                    <w:snapToGrid w:val="0"/>
                    <w:spacing w:line="360" w:lineRule="exact"/>
                    <w:jc w:val="center"/>
                    <w:rPr>
                      <w:rFonts w:eastAsiaTheme="minorEastAsia"/>
                      <w:szCs w:val="21"/>
                    </w:rPr>
                  </w:pPr>
                  <w:r>
                    <w:rPr>
                      <w:rFonts w:hint="eastAsia" w:eastAsiaTheme="minorEastAsia"/>
                      <w:szCs w:val="21"/>
                    </w:rPr>
                    <w:t>自备水井</w:t>
                  </w:r>
                </w:p>
              </w:tc>
              <w:tc>
                <w:tcPr>
                  <w:tcW w:w="1422" w:type="pct"/>
                </w:tcPr>
                <w:p>
                  <w:pPr>
                    <w:adjustRightInd w:val="0"/>
                    <w:snapToGrid w:val="0"/>
                    <w:spacing w:line="360" w:lineRule="exact"/>
                    <w:jc w:val="center"/>
                    <w:rPr>
                      <w:rFonts w:eastAsiaTheme="minorEastAsia"/>
                      <w:szCs w:val="21"/>
                    </w:rPr>
                  </w:pPr>
                  <w:r>
                    <w:rPr>
                      <w:rFonts w:hint="eastAsia" w:eastAsiaTheme="minorEastAsia"/>
                      <w:szCs w:val="21"/>
                    </w:rPr>
                    <w:t>生活用水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7" w:type="pct"/>
                  <w:vMerge w:val="continue"/>
                  <w:vAlign w:val="center"/>
                </w:tcPr>
                <w:p>
                  <w:pPr>
                    <w:adjustRightInd w:val="0"/>
                    <w:snapToGrid w:val="0"/>
                    <w:spacing w:line="360" w:lineRule="exact"/>
                    <w:jc w:val="center"/>
                    <w:rPr>
                      <w:rFonts w:eastAsiaTheme="minorEastAsia"/>
                      <w:szCs w:val="21"/>
                    </w:rPr>
                  </w:pPr>
                </w:p>
              </w:tc>
              <w:tc>
                <w:tcPr>
                  <w:tcW w:w="456" w:type="pct"/>
                  <w:vAlign w:val="center"/>
                </w:tcPr>
                <w:p>
                  <w:pPr>
                    <w:adjustRightInd w:val="0"/>
                    <w:snapToGrid w:val="0"/>
                    <w:spacing w:line="360" w:lineRule="exact"/>
                    <w:jc w:val="center"/>
                    <w:rPr>
                      <w:rFonts w:eastAsiaTheme="minorEastAsia"/>
                      <w:szCs w:val="21"/>
                    </w:rPr>
                  </w:pPr>
                  <w:r>
                    <w:rPr>
                      <w:rFonts w:eastAsiaTheme="minorEastAsia"/>
                      <w:szCs w:val="21"/>
                    </w:rPr>
                    <w:t>3</w:t>
                  </w:r>
                </w:p>
              </w:tc>
              <w:tc>
                <w:tcPr>
                  <w:tcW w:w="885" w:type="pct"/>
                  <w:vAlign w:val="center"/>
                </w:tcPr>
                <w:p>
                  <w:pPr>
                    <w:widowControl/>
                    <w:adjustRightInd w:val="0"/>
                    <w:snapToGrid w:val="0"/>
                    <w:spacing w:line="360" w:lineRule="exact"/>
                    <w:jc w:val="center"/>
                    <w:rPr>
                      <w:rFonts w:eastAsiaTheme="minorEastAsia"/>
                      <w:szCs w:val="21"/>
                    </w:rPr>
                  </w:pPr>
                  <w:r>
                    <w:rPr>
                      <w:rFonts w:eastAsiaTheme="minorEastAsia"/>
                      <w:szCs w:val="21"/>
                    </w:rPr>
                    <w:t>电</w:t>
                  </w:r>
                </w:p>
              </w:tc>
              <w:tc>
                <w:tcPr>
                  <w:tcW w:w="918" w:type="pct"/>
                  <w:vAlign w:val="center"/>
                </w:tcPr>
                <w:p>
                  <w:pPr>
                    <w:adjustRightInd w:val="0"/>
                    <w:snapToGrid w:val="0"/>
                    <w:spacing w:line="360" w:lineRule="exact"/>
                    <w:jc w:val="center"/>
                    <w:rPr>
                      <w:rFonts w:eastAsiaTheme="minorEastAsia"/>
                      <w:szCs w:val="21"/>
                    </w:rPr>
                  </w:pPr>
                  <w:r>
                    <w:rPr>
                      <w:rFonts w:hint="eastAsia" w:eastAsiaTheme="minorEastAsia"/>
                      <w:szCs w:val="21"/>
                    </w:rPr>
                    <w:t>8</w:t>
                  </w:r>
                  <w:r>
                    <w:rPr>
                      <w:rFonts w:eastAsiaTheme="minorEastAsia"/>
                      <w:szCs w:val="21"/>
                    </w:rPr>
                    <w:t>0度</w:t>
                  </w:r>
                  <w:r>
                    <w:rPr>
                      <w:rFonts w:eastAsiaTheme="minorEastAsia"/>
                    </w:rPr>
                    <w:t>/a</w:t>
                  </w:r>
                </w:p>
              </w:tc>
              <w:tc>
                <w:tcPr>
                  <w:tcW w:w="910" w:type="pct"/>
                  <w:vAlign w:val="center"/>
                </w:tcPr>
                <w:p>
                  <w:pPr>
                    <w:adjustRightInd w:val="0"/>
                    <w:snapToGrid w:val="0"/>
                    <w:spacing w:line="360" w:lineRule="exact"/>
                    <w:jc w:val="center"/>
                    <w:rPr>
                      <w:rFonts w:eastAsiaTheme="minorEastAsia"/>
                      <w:szCs w:val="21"/>
                    </w:rPr>
                  </w:pPr>
                  <w:r>
                    <w:rPr>
                      <w:rFonts w:hint="eastAsia" w:eastAsiaTheme="minorEastAsia"/>
                      <w:szCs w:val="21"/>
                    </w:rPr>
                    <w:t>市政电网</w:t>
                  </w:r>
                </w:p>
              </w:tc>
              <w:tc>
                <w:tcPr>
                  <w:tcW w:w="1422" w:type="pct"/>
                </w:tcPr>
                <w:p>
                  <w:pPr>
                    <w:adjustRightInd w:val="0"/>
                    <w:snapToGrid w:val="0"/>
                    <w:spacing w:line="360" w:lineRule="exact"/>
                    <w:jc w:val="center"/>
                    <w:rPr>
                      <w:rFonts w:eastAsiaTheme="minorEastAsia"/>
                      <w:szCs w:val="21"/>
                    </w:rPr>
                  </w:pPr>
                </w:p>
              </w:tc>
            </w:tr>
            <w:bookmarkEnd w:id="2"/>
          </w:tbl>
          <w:p>
            <w:pPr>
              <w:pStyle w:val="36"/>
              <w:spacing w:before="96" w:after="24"/>
              <w:rPr>
                <w:kern w:val="0"/>
                <w:sz w:val="24"/>
              </w:rPr>
            </w:pPr>
            <w:r>
              <w:rPr>
                <w:kern w:val="0"/>
              </w:rPr>
              <w:t>表</w:t>
            </w:r>
            <w:r>
              <w:rPr>
                <w:rFonts w:hint="eastAsia"/>
                <w:kern w:val="0"/>
              </w:rPr>
              <w:t>6</w:t>
            </w:r>
            <w:r>
              <w:rPr>
                <w:rFonts w:hint="eastAsia"/>
                <w:bCs/>
                <w:kern w:val="0"/>
              </w:rPr>
              <w:t xml:space="preserve">    </w:t>
            </w:r>
            <w:r>
              <w:rPr>
                <w:kern w:val="0"/>
              </w:rPr>
              <w:t>生物质燃料成分一览表</w:t>
            </w:r>
          </w:p>
          <w:tbl>
            <w:tblPr>
              <w:tblStyle w:val="1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41"/>
              <w:gridCol w:w="861"/>
              <w:gridCol w:w="3534"/>
              <w:gridCol w:w="10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9" w:type="pct"/>
                  <w:vAlign w:val="center"/>
                </w:tcPr>
                <w:p>
                  <w:pPr>
                    <w:pStyle w:val="57"/>
                    <w:rPr>
                      <w:kern w:val="0"/>
                      <w:sz w:val="24"/>
                    </w:rPr>
                  </w:pPr>
                  <w:r>
                    <w:rPr>
                      <w:kern w:val="0"/>
                    </w:rPr>
                    <w:t>指标</w:t>
                  </w:r>
                </w:p>
              </w:tc>
              <w:tc>
                <w:tcPr>
                  <w:tcW w:w="542" w:type="pct"/>
                  <w:vAlign w:val="center"/>
                </w:tcPr>
                <w:p>
                  <w:pPr>
                    <w:pStyle w:val="57"/>
                    <w:rPr>
                      <w:kern w:val="0"/>
                      <w:sz w:val="24"/>
                    </w:rPr>
                  </w:pPr>
                  <w:r>
                    <w:rPr>
                      <w:kern w:val="0"/>
                    </w:rPr>
                    <w:t>结果值</w:t>
                  </w:r>
                </w:p>
              </w:tc>
              <w:tc>
                <w:tcPr>
                  <w:tcW w:w="2224" w:type="pct"/>
                  <w:vAlign w:val="center"/>
                </w:tcPr>
                <w:p>
                  <w:pPr>
                    <w:pStyle w:val="57"/>
                    <w:rPr>
                      <w:kern w:val="0"/>
                      <w:sz w:val="24"/>
                    </w:rPr>
                  </w:pPr>
                  <w:r>
                    <w:rPr>
                      <w:kern w:val="0"/>
                    </w:rPr>
                    <w:t>指标</w:t>
                  </w:r>
                </w:p>
              </w:tc>
              <w:tc>
                <w:tcPr>
                  <w:tcW w:w="635" w:type="pct"/>
                  <w:vAlign w:val="center"/>
                </w:tcPr>
                <w:p>
                  <w:pPr>
                    <w:pStyle w:val="57"/>
                    <w:rPr>
                      <w:kern w:val="0"/>
                      <w:sz w:val="24"/>
                    </w:rPr>
                  </w:pPr>
                  <w:r>
                    <w:rPr>
                      <w:kern w:val="0"/>
                    </w:rPr>
                    <w:t>结果值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9" w:type="pct"/>
                  <w:vAlign w:val="center"/>
                </w:tcPr>
                <w:p>
                  <w:pPr>
                    <w:pStyle w:val="57"/>
                    <w:rPr>
                      <w:kern w:val="0"/>
                      <w:sz w:val="24"/>
                    </w:rPr>
                  </w:pPr>
                  <w:r>
                    <w:rPr>
                      <w:kern w:val="0"/>
                    </w:rPr>
                    <w:t>空气干燥基水分Mad（%）</w:t>
                  </w:r>
                </w:p>
              </w:tc>
              <w:tc>
                <w:tcPr>
                  <w:tcW w:w="542" w:type="pct"/>
                  <w:vAlign w:val="center"/>
                </w:tcPr>
                <w:p>
                  <w:pPr>
                    <w:pStyle w:val="57"/>
                    <w:rPr>
                      <w:kern w:val="0"/>
                      <w:sz w:val="24"/>
                    </w:rPr>
                  </w:pPr>
                  <w:r>
                    <w:rPr>
                      <w:kern w:val="0"/>
                    </w:rPr>
                    <w:t>0.6</w:t>
                  </w:r>
                </w:p>
              </w:tc>
              <w:tc>
                <w:tcPr>
                  <w:tcW w:w="2224" w:type="pct"/>
                  <w:vAlign w:val="center"/>
                </w:tcPr>
                <w:p>
                  <w:pPr>
                    <w:pStyle w:val="57"/>
                    <w:rPr>
                      <w:kern w:val="0"/>
                      <w:sz w:val="24"/>
                    </w:rPr>
                  </w:pPr>
                  <w:r>
                    <w:rPr>
                      <w:kern w:val="0"/>
                    </w:rPr>
                    <w:t>干燥基高位发热量Qgr.d（MJ/Kg）</w:t>
                  </w:r>
                </w:p>
              </w:tc>
              <w:tc>
                <w:tcPr>
                  <w:tcW w:w="635" w:type="pct"/>
                  <w:vAlign w:val="center"/>
                </w:tcPr>
                <w:p>
                  <w:pPr>
                    <w:pStyle w:val="57"/>
                    <w:rPr>
                      <w:kern w:val="0"/>
                      <w:sz w:val="24"/>
                    </w:rPr>
                  </w:pPr>
                  <w:r>
                    <w:rPr>
                      <w:kern w:val="0"/>
                    </w:rPr>
                    <w:t>4780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9" w:type="pct"/>
                  <w:vAlign w:val="center"/>
                </w:tcPr>
                <w:p>
                  <w:pPr>
                    <w:pStyle w:val="57"/>
                    <w:rPr>
                      <w:kern w:val="0"/>
                      <w:sz w:val="24"/>
                    </w:rPr>
                  </w:pPr>
                  <w:r>
                    <w:rPr>
                      <w:kern w:val="0"/>
                    </w:rPr>
                    <w:t>空气干燥基灰分A.ad（%）</w:t>
                  </w:r>
                </w:p>
              </w:tc>
              <w:tc>
                <w:tcPr>
                  <w:tcW w:w="542" w:type="pct"/>
                  <w:vAlign w:val="center"/>
                </w:tcPr>
                <w:p>
                  <w:pPr>
                    <w:pStyle w:val="57"/>
                    <w:rPr>
                      <w:kern w:val="0"/>
                      <w:sz w:val="24"/>
                    </w:rPr>
                  </w:pPr>
                  <w:r>
                    <w:rPr>
                      <w:kern w:val="0"/>
                    </w:rPr>
                    <w:t>1.1</w:t>
                  </w:r>
                </w:p>
              </w:tc>
              <w:tc>
                <w:tcPr>
                  <w:tcW w:w="2224" w:type="pct"/>
                  <w:vAlign w:val="center"/>
                </w:tcPr>
                <w:p>
                  <w:pPr>
                    <w:pStyle w:val="57"/>
                    <w:rPr>
                      <w:kern w:val="0"/>
                      <w:sz w:val="24"/>
                    </w:rPr>
                  </w:pPr>
                  <w:r>
                    <w:rPr>
                      <w:kern w:val="0"/>
                    </w:rPr>
                    <w:t>收到基低位发热量Qnet.ar（MJ/Kg）</w:t>
                  </w:r>
                </w:p>
              </w:tc>
              <w:tc>
                <w:tcPr>
                  <w:tcW w:w="635" w:type="pct"/>
                  <w:vAlign w:val="center"/>
                </w:tcPr>
                <w:p>
                  <w:pPr>
                    <w:pStyle w:val="57"/>
                    <w:rPr>
                      <w:kern w:val="0"/>
                      <w:sz w:val="24"/>
                    </w:rPr>
                  </w:pPr>
                  <w:r>
                    <w:rPr>
                      <w:kern w:val="0"/>
                    </w:rPr>
                    <w:t>4150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599" w:type="pct"/>
                  <w:vAlign w:val="center"/>
                </w:tcPr>
                <w:p>
                  <w:pPr>
                    <w:pStyle w:val="57"/>
                    <w:rPr>
                      <w:kern w:val="0"/>
                      <w:sz w:val="24"/>
                    </w:rPr>
                  </w:pPr>
                  <w:r>
                    <w:rPr>
                      <w:kern w:val="0"/>
                    </w:rPr>
                    <w:t>空气干燥基挥发分V.ad（%）</w:t>
                  </w:r>
                </w:p>
              </w:tc>
              <w:tc>
                <w:tcPr>
                  <w:tcW w:w="542" w:type="pct"/>
                  <w:vAlign w:val="center"/>
                </w:tcPr>
                <w:p>
                  <w:pPr>
                    <w:pStyle w:val="57"/>
                    <w:rPr>
                      <w:kern w:val="0"/>
                      <w:sz w:val="24"/>
                    </w:rPr>
                  </w:pPr>
                  <w:r>
                    <w:rPr>
                      <w:kern w:val="0"/>
                    </w:rPr>
                    <w:t>82.1</w:t>
                  </w:r>
                </w:p>
              </w:tc>
              <w:tc>
                <w:tcPr>
                  <w:tcW w:w="2224" w:type="pct"/>
                  <w:vAlign w:val="center"/>
                </w:tcPr>
                <w:p>
                  <w:pPr>
                    <w:pStyle w:val="57"/>
                    <w:rPr>
                      <w:kern w:val="0"/>
                      <w:sz w:val="24"/>
                    </w:rPr>
                  </w:pPr>
                  <w:r>
                    <w:rPr>
                      <w:kern w:val="0"/>
                    </w:rPr>
                    <w:t>空气干燥基全硫St.ad（%）</w:t>
                  </w:r>
                </w:p>
              </w:tc>
              <w:tc>
                <w:tcPr>
                  <w:tcW w:w="635" w:type="pct"/>
                  <w:vAlign w:val="center"/>
                </w:tcPr>
                <w:p>
                  <w:pPr>
                    <w:pStyle w:val="57"/>
                    <w:rPr>
                      <w:kern w:val="0"/>
                      <w:sz w:val="24"/>
                    </w:rPr>
                  </w:pPr>
                  <w:r>
                    <w:rPr>
                      <w:kern w:val="0"/>
                    </w:rPr>
                    <w:t>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9" w:type="pct"/>
                  <w:vAlign w:val="center"/>
                </w:tcPr>
                <w:p>
                  <w:pPr>
                    <w:pStyle w:val="57"/>
                    <w:rPr>
                      <w:kern w:val="0"/>
                      <w:sz w:val="24"/>
                    </w:rPr>
                  </w:pPr>
                  <w:r>
                    <w:rPr>
                      <w:kern w:val="0"/>
                    </w:rPr>
                    <w:t>收到基全水分Mt.ar（%）</w:t>
                  </w:r>
                </w:p>
              </w:tc>
              <w:tc>
                <w:tcPr>
                  <w:tcW w:w="542" w:type="pct"/>
                  <w:vAlign w:val="center"/>
                </w:tcPr>
                <w:p>
                  <w:pPr>
                    <w:pStyle w:val="57"/>
                    <w:rPr>
                      <w:kern w:val="0"/>
                      <w:sz w:val="24"/>
                    </w:rPr>
                  </w:pPr>
                  <w:r>
                    <w:rPr>
                      <w:kern w:val="0"/>
                    </w:rPr>
                    <w:t>5.1</w:t>
                  </w:r>
                </w:p>
              </w:tc>
              <w:tc>
                <w:tcPr>
                  <w:tcW w:w="2224" w:type="pct"/>
                  <w:vAlign w:val="center"/>
                </w:tcPr>
                <w:p>
                  <w:pPr>
                    <w:pStyle w:val="57"/>
                    <w:rPr>
                      <w:kern w:val="0"/>
                      <w:sz w:val="24"/>
                    </w:rPr>
                  </w:pPr>
                  <w:r>
                    <w:rPr>
                      <w:kern w:val="0"/>
                    </w:rPr>
                    <w:t>空气干燥基固定碳Fcad（%）</w:t>
                  </w:r>
                </w:p>
              </w:tc>
              <w:tc>
                <w:tcPr>
                  <w:tcW w:w="635" w:type="pct"/>
                  <w:vAlign w:val="center"/>
                </w:tcPr>
                <w:p>
                  <w:pPr>
                    <w:pStyle w:val="57"/>
                    <w:rPr>
                      <w:kern w:val="0"/>
                      <w:sz w:val="24"/>
                    </w:rPr>
                  </w:pPr>
                  <w:r>
                    <w:rPr>
                      <w:kern w:val="0"/>
                    </w:rPr>
                    <w:t>16.2</w:t>
                  </w:r>
                </w:p>
              </w:tc>
            </w:tr>
          </w:tbl>
          <w:p>
            <w:pPr>
              <w:pStyle w:val="31"/>
              <w:ind w:firstLine="480"/>
              <w:rPr>
                <w:rFonts w:eastAsiaTheme="minorEastAsia"/>
                <w:bCs/>
                <w:color w:val="auto"/>
                <w:szCs w:val="21"/>
              </w:rPr>
            </w:pPr>
          </w:p>
          <w:p>
            <w:pPr>
              <w:pStyle w:val="31"/>
              <w:ind w:firstLine="480"/>
              <w:rPr>
                <w:rFonts w:eastAsiaTheme="minorEastAsia"/>
                <w:bCs/>
                <w:color w:val="auto"/>
                <w:szCs w:val="21"/>
              </w:rPr>
            </w:pPr>
            <w:r>
              <w:rPr>
                <w:rFonts w:eastAsiaTheme="minorEastAsia"/>
                <w:bCs/>
                <w:color w:val="auto"/>
                <w:szCs w:val="21"/>
              </w:rPr>
              <w:t>8、生产设备</w:t>
            </w:r>
          </w:p>
          <w:p>
            <w:pPr>
              <w:pStyle w:val="31"/>
              <w:ind w:firstLine="480"/>
              <w:rPr>
                <w:rFonts w:eastAsiaTheme="minorEastAsia"/>
                <w:bCs/>
                <w:color w:val="auto"/>
                <w:szCs w:val="21"/>
              </w:rPr>
            </w:pPr>
            <w:r>
              <w:rPr>
                <w:rFonts w:eastAsiaTheme="minorEastAsia"/>
                <w:bCs/>
                <w:color w:val="auto"/>
                <w:szCs w:val="21"/>
              </w:rPr>
              <w:t>本项目设备见下表。</w:t>
            </w:r>
          </w:p>
          <w:p>
            <w:pPr>
              <w:pStyle w:val="39"/>
              <w:rPr>
                <w:rFonts w:eastAsiaTheme="minorEastAsia"/>
              </w:rPr>
            </w:pPr>
            <w:r>
              <w:rPr>
                <w:rFonts w:eastAsiaTheme="minorEastAsia"/>
              </w:rPr>
              <w:t>表</w:t>
            </w:r>
            <w:r>
              <w:rPr>
                <w:rFonts w:hint="eastAsia" w:eastAsiaTheme="minorEastAsia"/>
              </w:rPr>
              <w:t>7</w:t>
            </w:r>
            <w:r>
              <w:rPr>
                <w:rFonts w:eastAsiaTheme="minorEastAsia"/>
              </w:rPr>
              <w:t xml:space="preserve">    本项目设备一览表</w:t>
            </w:r>
          </w:p>
          <w:tbl>
            <w:tblPr>
              <w:tblStyle w:val="1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2097"/>
              <w:gridCol w:w="679"/>
              <w:gridCol w:w="815"/>
              <w:gridCol w:w="2325"/>
              <w:gridCol w:w="240"/>
              <w:gridCol w:w="12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312" w:type="pct"/>
                  <w:vAlign w:val="center"/>
                </w:tcPr>
                <w:p>
                  <w:pPr>
                    <w:pStyle w:val="57"/>
                    <w:rPr>
                      <w:szCs w:val="21"/>
                    </w:rPr>
                  </w:pPr>
                  <w:r>
                    <w:rPr>
                      <w:szCs w:val="21"/>
                    </w:rPr>
                    <w:t>序号</w:t>
                  </w:r>
                </w:p>
              </w:tc>
              <w:tc>
                <w:tcPr>
                  <w:tcW w:w="1320" w:type="pct"/>
                  <w:vAlign w:val="center"/>
                </w:tcPr>
                <w:p>
                  <w:pPr>
                    <w:pStyle w:val="57"/>
                    <w:rPr>
                      <w:szCs w:val="21"/>
                    </w:rPr>
                  </w:pPr>
                  <w:r>
                    <w:rPr>
                      <w:szCs w:val="21"/>
                    </w:rPr>
                    <w:t>名称</w:t>
                  </w:r>
                </w:p>
              </w:tc>
              <w:tc>
                <w:tcPr>
                  <w:tcW w:w="427" w:type="pct"/>
                  <w:vAlign w:val="center"/>
                </w:tcPr>
                <w:p>
                  <w:pPr>
                    <w:pStyle w:val="57"/>
                    <w:rPr>
                      <w:szCs w:val="21"/>
                    </w:rPr>
                  </w:pPr>
                  <w:r>
                    <w:rPr>
                      <w:szCs w:val="21"/>
                    </w:rPr>
                    <w:t>数量</w:t>
                  </w:r>
                </w:p>
              </w:tc>
              <w:tc>
                <w:tcPr>
                  <w:tcW w:w="513" w:type="pct"/>
                  <w:vAlign w:val="center"/>
                </w:tcPr>
                <w:p>
                  <w:pPr>
                    <w:pStyle w:val="57"/>
                    <w:rPr>
                      <w:szCs w:val="21"/>
                    </w:rPr>
                  </w:pPr>
                  <w:r>
                    <w:rPr>
                      <w:szCs w:val="21"/>
                    </w:rPr>
                    <w:t>单位</w:t>
                  </w:r>
                </w:p>
              </w:tc>
              <w:tc>
                <w:tcPr>
                  <w:tcW w:w="1463" w:type="pct"/>
                  <w:vAlign w:val="center"/>
                </w:tcPr>
                <w:p>
                  <w:pPr>
                    <w:pStyle w:val="57"/>
                    <w:rPr>
                      <w:szCs w:val="21"/>
                    </w:rPr>
                  </w:pPr>
                  <w:r>
                    <w:rPr>
                      <w:szCs w:val="21"/>
                    </w:rPr>
                    <w:t>型号</w:t>
                  </w:r>
                </w:p>
              </w:tc>
              <w:tc>
                <w:tcPr>
                  <w:tcW w:w="965" w:type="pct"/>
                  <w:gridSpan w:val="2"/>
                  <w:vAlign w:val="center"/>
                </w:tcPr>
                <w:p>
                  <w:pPr>
                    <w:pStyle w:val="57"/>
                    <w:rPr>
                      <w:szCs w:val="21"/>
                    </w:rPr>
                  </w:pPr>
                  <w:r>
                    <w:rPr>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5000" w:type="pct"/>
                  <w:gridSpan w:val="7"/>
                  <w:vAlign w:val="center"/>
                </w:tcPr>
                <w:p>
                  <w:pPr>
                    <w:pStyle w:val="57"/>
                    <w:rPr>
                      <w:szCs w:val="21"/>
                    </w:rPr>
                  </w:pPr>
                  <w:r>
                    <w:rPr>
                      <w:szCs w:val="21"/>
                    </w:rPr>
                    <w:t>平房仓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2" w:type="pct"/>
                  <w:vAlign w:val="center"/>
                </w:tcPr>
                <w:p>
                  <w:pPr>
                    <w:pStyle w:val="57"/>
                    <w:rPr>
                      <w:szCs w:val="21"/>
                    </w:rPr>
                  </w:pPr>
                  <w:r>
                    <w:rPr>
                      <w:szCs w:val="21"/>
                    </w:rPr>
                    <w:t>1</w:t>
                  </w:r>
                </w:p>
              </w:tc>
              <w:tc>
                <w:tcPr>
                  <w:tcW w:w="1320" w:type="pct"/>
                  <w:vAlign w:val="center"/>
                </w:tcPr>
                <w:p>
                  <w:pPr>
                    <w:pStyle w:val="57"/>
                    <w:rPr>
                      <w:szCs w:val="21"/>
                    </w:rPr>
                  </w:pPr>
                  <w:r>
                    <w:rPr>
                      <w:kern w:val="0"/>
                      <w:szCs w:val="21"/>
                    </w:rPr>
                    <w:t>移动式卸粮机</w:t>
                  </w:r>
                </w:p>
              </w:tc>
              <w:tc>
                <w:tcPr>
                  <w:tcW w:w="427" w:type="pct"/>
                  <w:vAlign w:val="center"/>
                </w:tcPr>
                <w:p>
                  <w:pPr>
                    <w:pStyle w:val="57"/>
                    <w:rPr>
                      <w:szCs w:val="21"/>
                    </w:rPr>
                  </w:pPr>
                  <w:r>
                    <w:rPr>
                      <w:kern w:val="0"/>
                      <w:szCs w:val="21"/>
                    </w:rPr>
                    <w:t>2</w:t>
                  </w:r>
                </w:p>
              </w:tc>
              <w:tc>
                <w:tcPr>
                  <w:tcW w:w="513" w:type="pct"/>
                  <w:vAlign w:val="center"/>
                </w:tcPr>
                <w:p>
                  <w:pPr>
                    <w:pStyle w:val="57"/>
                    <w:rPr>
                      <w:szCs w:val="21"/>
                    </w:rPr>
                  </w:pPr>
                  <w:r>
                    <w:rPr>
                      <w:szCs w:val="21"/>
                    </w:rPr>
                    <w:t>台</w:t>
                  </w:r>
                </w:p>
              </w:tc>
              <w:tc>
                <w:tcPr>
                  <w:tcW w:w="1614" w:type="pct"/>
                  <w:gridSpan w:val="2"/>
                  <w:vAlign w:val="center"/>
                </w:tcPr>
                <w:p>
                  <w:pPr>
                    <w:pStyle w:val="57"/>
                    <w:rPr>
                      <w:szCs w:val="21"/>
                    </w:rPr>
                  </w:pPr>
                  <w:r>
                    <w:rPr>
                      <w:kern w:val="0"/>
                      <w:szCs w:val="21"/>
                    </w:rPr>
                    <w:t>带宽650mm，长度10m+5m，100t/h</w:t>
                  </w:r>
                </w:p>
              </w:tc>
              <w:tc>
                <w:tcPr>
                  <w:tcW w:w="814" w:type="pct"/>
                  <w:vAlign w:val="center"/>
                </w:tcPr>
                <w:p>
                  <w:pPr>
                    <w:pStyle w:val="57"/>
                    <w:rPr>
                      <w:rStyle w:val="47"/>
                      <w:rFonts w:hint="default" w:ascii="Times New Roman" w:hAnsi="Times New Roman"/>
                      <w:color w:val="auto"/>
                      <w:sz w:val="21"/>
                      <w:szCs w:val="21"/>
                    </w:rPr>
                  </w:pPr>
                  <w:r>
                    <w:rPr>
                      <w:rStyle w:val="47"/>
                      <w:rFonts w:hint="default" w:ascii="Times New Roman" w:hAnsi="Times New Roman"/>
                      <w:color w:val="auto"/>
                      <w:sz w:val="21"/>
                      <w:szCs w:val="21"/>
                    </w:rPr>
                    <w:t>卸车用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2" w:type="pct"/>
                  <w:vAlign w:val="center"/>
                </w:tcPr>
                <w:p>
                  <w:pPr>
                    <w:pStyle w:val="57"/>
                    <w:rPr>
                      <w:szCs w:val="21"/>
                    </w:rPr>
                  </w:pPr>
                  <w:r>
                    <w:rPr>
                      <w:szCs w:val="21"/>
                    </w:rPr>
                    <w:t>2</w:t>
                  </w:r>
                </w:p>
              </w:tc>
              <w:tc>
                <w:tcPr>
                  <w:tcW w:w="1320" w:type="pct"/>
                  <w:vAlign w:val="center"/>
                </w:tcPr>
                <w:p>
                  <w:pPr>
                    <w:pStyle w:val="57"/>
                    <w:rPr>
                      <w:szCs w:val="21"/>
                    </w:rPr>
                  </w:pPr>
                  <w:r>
                    <w:rPr>
                      <w:kern w:val="0"/>
                      <w:szCs w:val="21"/>
                    </w:rPr>
                    <w:t>移动式登高伸缩输送机</w:t>
                  </w:r>
                </w:p>
              </w:tc>
              <w:tc>
                <w:tcPr>
                  <w:tcW w:w="427" w:type="pct"/>
                  <w:vAlign w:val="center"/>
                </w:tcPr>
                <w:p>
                  <w:pPr>
                    <w:pStyle w:val="57"/>
                    <w:rPr>
                      <w:szCs w:val="21"/>
                    </w:rPr>
                  </w:pPr>
                  <w:r>
                    <w:rPr>
                      <w:kern w:val="0"/>
                      <w:szCs w:val="21"/>
                    </w:rPr>
                    <w:t>2</w:t>
                  </w:r>
                </w:p>
              </w:tc>
              <w:tc>
                <w:tcPr>
                  <w:tcW w:w="513" w:type="pct"/>
                  <w:vAlign w:val="center"/>
                </w:tcPr>
                <w:p>
                  <w:pPr>
                    <w:pStyle w:val="57"/>
                    <w:rPr>
                      <w:szCs w:val="21"/>
                    </w:rPr>
                  </w:pPr>
                  <w:r>
                    <w:rPr>
                      <w:szCs w:val="21"/>
                    </w:rPr>
                    <w:t>台</w:t>
                  </w:r>
                </w:p>
              </w:tc>
              <w:tc>
                <w:tcPr>
                  <w:tcW w:w="1614" w:type="pct"/>
                  <w:gridSpan w:val="2"/>
                  <w:vAlign w:val="center"/>
                </w:tcPr>
                <w:p>
                  <w:pPr>
                    <w:pStyle w:val="57"/>
                    <w:rPr>
                      <w:szCs w:val="21"/>
                    </w:rPr>
                  </w:pPr>
                  <w:r>
                    <w:rPr>
                      <w:kern w:val="0"/>
                      <w:szCs w:val="21"/>
                    </w:rPr>
                    <w:t>带宽650mm，长度12m+6m，100t/h</w:t>
                  </w:r>
                </w:p>
              </w:tc>
              <w:tc>
                <w:tcPr>
                  <w:tcW w:w="814" w:type="pct"/>
                  <w:vAlign w:val="center"/>
                </w:tcPr>
                <w:p>
                  <w:pPr>
                    <w:pStyle w:val="57"/>
                    <w:rPr>
                      <w:szCs w:val="21"/>
                    </w:rPr>
                  </w:pPr>
                  <w:r>
                    <w:rPr>
                      <w:rStyle w:val="47"/>
                      <w:rFonts w:hint="default" w:ascii="Times New Roman" w:hAnsi="Times New Roman"/>
                      <w:color w:val="auto"/>
                      <w:sz w:val="21"/>
                      <w:szCs w:val="21"/>
                    </w:rPr>
                    <w:t>进清理设备用/出仓用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2" w:type="pct"/>
                  <w:vAlign w:val="center"/>
                </w:tcPr>
                <w:p>
                  <w:pPr>
                    <w:pStyle w:val="57"/>
                    <w:rPr>
                      <w:szCs w:val="21"/>
                    </w:rPr>
                  </w:pPr>
                  <w:r>
                    <w:rPr>
                      <w:szCs w:val="21"/>
                    </w:rPr>
                    <w:t>3</w:t>
                  </w:r>
                </w:p>
              </w:tc>
              <w:tc>
                <w:tcPr>
                  <w:tcW w:w="1320" w:type="pct"/>
                  <w:vAlign w:val="center"/>
                </w:tcPr>
                <w:p>
                  <w:pPr>
                    <w:pStyle w:val="57"/>
                    <w:rPr>
                      <w:szCs w:val="21"/>
                    </w:rPr>
                  </w:pPr>
                  <w:r>
                    <w:rPr>
                      <w:kern w:val="0"/>
                      <w:szCs w:val="21"/>
                    </w:rPr>
                    <w:t>移动式组合清理设备</w:t>
                  </w:r>
                </w:p>
              </w:tc>
              <w:tc>
                <w:tcPr>
                  <w:tcW w:w="427" w:type="pct"/>
                  <w:vAlign w:val="center"/>
                </w:tcPr>
                <w:p>
                  <w:pPr>
                    <w:pStyle w:val="57"/>
                    <w:rPr>
                      <w:szCs w:val="21"/>
                    </w:rPr>
                  </w:pPr>
                  <w:r>
                    <w:rPr>
                      <w:kern w:val="0"/>
                      <w:szCs w:val="21"/>
                    </w:rPr>
                    <w:t>2</w:t>
                  </w:r>
                </w:p>
              </w:tc>
              <w:tc>
                <w:tcPr>
                  <w:tcW w:w="513" w:type="pct"/>
                  <w:vAlign w:val="center"/>
                </w:tcPr>
                <w:p>
                  <w:pPr>
                    <w:pStyle w:val="57"/>
                    <w:rPr>
                      <w:szCs w:val="21"/>
                    </w:rPr>
                  </w:pPr>
                  <w:r>
                    <w:rPr>
                      <w:szCs w:val="21"/>
                    </w:rPr>
                    <w:t>台</w:t>
                  </w:r>
                </w:p>
              </w:tc>
              <w:tc>
                <w:tcPr>
                  <w:tcW w:w="1614" w:type="pct"/>
                  <w:gridSpan w:val="2"/>
                  <w:vAlign w:val="center"/>
                </w:tcPr>
                <w:p>
                  <w:pPr>
                    <w:pStyle w:val="57"/>
                    <w:rPr>
                      <w:szCs w:val="21"/>
                    </w:rPr>
                  </w:pPr>
                  <w:r>
                    <w:rPr>
                      <w:kern w:val="0"/>
                      <w:szCs w:val="21"/>
                    </w:rPr>
                    <w:t>100t/h</w:t>
                  </w:r>
                </w:p>
              </w:tc>
              <w:tc>
                <w:tcPr>
                  <w:tcW w:w="814" w:type="pct"/>
                  <w:vAlign w:val="center"/>
                </w:tcPr>
                <w:p>
                  <w:pPr>
                    <w:pStyle w:val="57"/>
                    <w:rPr>
                      <w:szCs w:val="21"/>
                    </w:rPr>
                  </w:pPr>
                  <w:r>
                    <w:rPr>
                      <w:rStyle w:val="47"/>
                      <w:rFonts w:hint="default" w:ascii="Times New Roman" w:hAnsi="Times New Roman"/>
                      <w:color w:val="auto"/>
                      <w:sz w:val="21"/>
                      <w:szCs w:val="21"/>
                    </w:rPr>
                    <w:t>清理杂质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2" w:type="pct"/>
                  <w:vAlign w:val="center"/>
                </w:tcPr>
                <w:p>
                  <w:pPr>
                    <w:pStyle w:val="57"/>
                    <w:rPr>
                      <w:szCs w:val="21"/>
                    </w:rPr>
                  </w:pPr>
                  <w:r>
                    <w:rPr>
                      <w:szCs w:val="21"/>
                    </w:rPr>
                    <w:t>4</w:t>
                  </w:r>
                </w:p>
              </w:tc>
              <w:tc>
                <w:tcPr>
                  <w:tcW w:w="1320" w:type="pct"/>
                  <w:vAlign w:val="center"/>
                </w:tcPr>
                <w:p>
                  <w:pPr>
                    <w:pStyle w:val="57"/>
                    <w:rPr>
                      <w:szCs w:val="21"/>
                    </w:rPr>
                  </w:pPr>
                  <w:r>
                    <w:rPr>
                      <w:kern w:val="0"/>
                      <w:szCs w:val="21"/>
                    </w:rPr>
                    <w:t>移动式登高伸缩输送机</w:t>
                  </w:r>
                </w:p>
              </w:tc>
              <w:tc>
                <w:tcPr>
                  <w:tcW w:w="427" w:type="pct"/>
                  <w:vAlign w:val="center"/>
                </w:tcPr>
                <w:p>
                  <w:pPr>
                    <w:pStyle w:val="57"/>
                    <w:rPr>
                      <w:szCs w:val="21"/>
                    </w:rPr>
                  </w:pPr>
                  <w:r>
                    <w:rPr>
                      <w:kern w:val="0"/>
                      <w:szCs w:val="21"/>
                    </w:rPr>
                    <w:t>2</w:t>
                  </w:r>
                </w:p>
              </w:tc>
              <w:tc>
                <w:tcPr>
                  <w:tcW w:w="513" w:type="pct"/>
                  <w:vAlign w:val="center"/>
                </w:tcPr>
                <w:p>
                  <w:pPr>
                    <w:pStyle w:val="57"/>
                    <w:rPr>
                      <w:szCs w:val="21"/>
                    </w:rPr>
                  </w:pPr>
                  <w:r>
                    <w:rPr>
                      <w:szCs w:val="21"/>
                    </w:rPr>
                    <w:t>台</w:t>
                  </w:r>
                </w:p>
              </w:tc>
              <w:tc>
                <w:tcPr>
                  <w:tcW w:w="1614" w:type="pct"/>
                  <w:gridSpan w:val="2"/>
                  <w:vAlign w:val="center"/>
                </w:tcPr>
                <w:p>
                  <w:pPr>
                    <w:pStyle w:val="57"/>
                    <w:rPr>
                      <w:szCs w:val="21"/>
                    </w:rPr>
                  </w:pPr>
                  <w:r>
                    <w:rPr>
                      <w:kern w:val="0"/>
                      <w:szCs w:val="21"/>
                    </w:rPr>
                    <w:t>带宽650mm，长度14m+8m，100t/h</w:t>
                  </w:r>
                </w:p>
              </w:tc>
              <w:tc>
                <w:tcPr>
                  <w:tcW w:w="814" w:type="pct"/>
                  <w:vAlign w:val="center"/>
                </w:tcPr>
                <w:p>
                  <w:pPr>
                    <w:pStyle w:val="57"/>
                    <w:rPr>
                      <w:szCs w:val="21"/>
                    </w:rPr>
                  </w:pPr>
                  <w:r>
                    <w:rPr>
                      <w:rStyle w:val="47"/>
                      <w:rFonts w:hint="default" w:ascii="Times New Roman" w:hAnsi="Times New Roman"/>
                      <w:color w:val="auto"/>
                      <w:sz w:val="21"/>
                      <w:szCs w:val="21"/>
                    </w:rPr>
                    <w:t>进转向机用/补仓用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2" w:type="pct"/>
                  <w:vAlign w:val="center"/>
                </w:tcPr>
                <w:p>
                  <w:pPr>
                    <w:pStyle w:val="57"/>
                    <w:rPr>
                      <w:szCs w:val="21"/>
                    </w:rPr>
                  </w:pPr>
                  <w:r>
                    <w:rPr>
                      <w:szCs w:val="21"/>
                    </w:rPr>
                    <w:t>5</w:t>
                  </w:r>
                </w:p>
              </w:tc>
              <w:tc>
                <w:tcPr>
                  <w:tcW w:w="1320" w:type="pct"/>
                  <w:vAlign w:val="center"/>
                </w:tcPr>
                <w:p>
                  <w:pPr>
                    <w:pStyle w:val="57"/>
                    <w:rPr>
                      <w:szCs w:val="21"/>
                    </w:rPr>
                  </w:pPr>
                  <w:r>
                    <w:rPr>
                      <w:kern w:val="0"/>
                      <w:szCs w:val="21"/>
                    </w:rPr>
                    <w:t>移动式360°转向伸缩输送机</w:t>
                  </w:r>
                </w:p>
              </w:tc>
              <w:tc>
                <w:tcPr>
                  <w:tcW w:w="427" w:type="pct"/>
                  <w:vAlign w:val="center"/>
                </w:tcPr>
                <w:p>
                  <w:pPr>
                    <w:pStyle w:val="57"/>
                    <w:rPr>
                      <w:szCs w:val="21"/>
                    </w:rPr>
                  </w:pPr>
                  <w:r>
                    <w:rPr>
                      <w:kern w:val="0"/>
                      <w:szCs w:val="21"/>
                    </w:rPr>
                    <w:t>2</w:t>
                  </w:r>
                </w:p>
              </w:tc>
              <w:tc>
                <w:tcPr>
                  <w:tcW w:w="513" w:type="pct"/>
                  <w:vAlign w:val="center"/>
                </w:tcPr>
                <w:p>
                  <w:pPr>
                    <w:pStyle w:val="57"/>
                    <w:rPr>
                      <w:szCs w:val="21"/>
                    </w:rPr>
                  </w:pPr>
                  <w:r>
                    <w:rPr>
                      <w:szCs w:val="21"/>
                    </w:rPr>
                    <w:t>台</w:t>
                  </w:r>
                </w:p>
              </w:tc>
              <w:tc>
                <w:tcPr>
                  <w:tcW w:w="1614" w:type="pct"/>
                  <w:gridSpan w:val="2"/>
                  <w:vAlign w:val="center"/>
                </w:tcPr>
                <w:p>
                  <w:pPr>
                    <w:pStyle w:val="57"/>
                    <w:rPr>
                      <w:szCs w:val="21"/>
                    </w:rPr>
                  </w:pPr>
                  <w:r>
                    <w:rPr>
                      <w:kern w:val="0"/>
                      <w:szCs w:val="21"/>
                    </w:rPr>
                    <w:t>带宽650mm，长度14m+6m，100t/h</w:t>
                  </w:r>
                </w:p>
              </w:tc>
              <w:tc>
                <w:tcPr>
                  <w:tcW w:w="814" w:type="pct"/>
                  <w:vAlign w:val="center"/>
                </w:tcPr>
                <w:p>
                  <w:pPr>
                    <w:pStyle w:val="57"/>
                    <w:rPr>
                      <w:szCs w:val="21"/>
                    </w:rPr>
                  </w:pPr>
                  <w:r>
                    <w:rPr>
                      <w:rStyle w:val="47"/>
                      <w:rFonts w:hint="default" w:ascii="Times New Roman" w:hAnsi="Times New Roman"/>
                      <w:color w:val="auto"/>
                      <w:sz w:val="21"/>
                      <w:szCs w:val="21"/>
                    </w:rPr>
                    <w:t>进仓布粮用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2" w:type="pct"/>
                  <w:vAlign w:val="center"/>
                </w:tcPr>
                <w:p>
                  <w:pPr>
                    <w:pStyle w:val="57"/>
                    <w:rPr>
                      <w:szCs w:val="21"/>
                    </w:rPr>
                  </w:pPr>
                  <w:r>
                    <w:rPr>
                      <w:szCs w:val="21"/>
                    </w:rPr>
                    <w:t>6</w:t>
                  </w:r>
                </w:p>
              </w:tc>
              <w:tc>
                <w:tcPr>
                  <w:tcW w:w="1320" w:type="pct"/>
                  <w:vAlign w:val="center"/>
                </w:tcPr>
                <w:p>
                  <w:pPr>
                    <w:pStyle w:val="57"/>
                    <w:rPr>
                      <w:szCs w:val="21"/>
                    </w:rPr>
                  </w:pPr>
                  <w:r>
                    <w:rPr>
                      <w:kern w:val="0"/>
                      <w:szCs w:val="21"/>
                    </w:rPr>
                    <w:t>移动式水平伸缩输送机</w:t>
                  </w:r>
                </w:p>
              </w:tc>
              <w:tc>
                <w:tcPr>
                  <w:tcW w:w="427" w:type="pct"/>
                  <w:vAlign w:val="center"/>
                </w:tcPr>
                <w:p>
                  <w:pPr>
                    <w:pStyle w:val="57"/>
                    <w:rPr>
                      <w:szCs w:val="21"/>
                    </w:rPr>
                  </w:pPr>
                  <w:r>
                    <w:rPr>
                      <w:kern w:val="0"/>
                      <w:szCs w:val="21"/>
                    </w:rPr>
                    <w:t>4</w:t>
                  </w:r>
                </w:p>
              </w:tc>
              <w:tc>
                <w:tcPr>
                  <w:tcW w:w="513" w:type="pct"/>
                  <w:vAlign w:val="center"/>
                </w:tcPr>
                <w:p>
                  <w:pPr>
                    <w:pStyle w:val="57"/>
                    <w:rPr>
                      <w:szCs w:val="21"/>
                    </w:rPr>
                  </w:pPr>
                  <w:r>
                    <w:rPr>
                      <w:szCs w:val="21"/>
                    </w:rPr>
                    <w:t>台</w:t>
                  </w:r>
                </w:p>
              </w:tc>
              <w:tc>
                <w:tcPr>
                  <w:tcW w:w="1614" w:type="pct"/>
                  <w:gridSpan w:val="2"/>
                  <w:vAlign w:val="center"/>
                </w:tcPr>
                <w:p>
                  <w:pPr>
                    <w:pStyle w:val="57"/>
                    <w:rPr>
                      <w:szCs w:val="21"/>
                    </w:rPr>
                  </w:pPr>
                  <w:r>
                    <w:rPr>
                      <w:kern w:val="0"/>
                      <w:szCs w:val="21"/>
                    </w:rPr>
                    <w:t>带宽650mm，长度12m+6m，100t/h</w:t>
                  </w:r>
                </w:p>
              </w:tc>
              <w:tc>
                <w:tcPr>
                  <w:tcW w:w="814" w:type="pct"/>
                  <w:vAlign w:val="center"/>
                </w:tcPr>
                <w:p>
                  <w:pPr>
                    <w:pStyle w:val="57"/>
                    <w:rPr>
                      <w:szCs w:val="21"/>
                    </w:rPr>
                  </w:pPr>
                  <w:r>
                    <w:rPr>
                      <w:rStyle w:val="47"/>
                      <w:rFonts w:hint="default" w:ascii="Times New Roman" w:hAnsi="Times New Roman"/>
                      <w:color w:val="auto"/>
                      <w:sz w:val="21"/>
                      <w:szCs w:val="21"/>
                    </w:rPr>
                    <w:t>发放用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2" w:type="pct"/>
                  <w:vAlign w:val="center"/>
                </w:tcPr>
                <w:p>
                  <w:pPr>
                    <w:pStyle w:val="57"/>
                    <w:rPr>
                      <w:szCs w:val="21"/>
                    </w:rPr>
                  </w:pPr>
                  <w:r>
                    <w:rPr>
                      <w:szCs w:val="21"/>
                    </w:rPr>
                    <w:t>7</w:t>
                  </w:r>
                </w:p>
              </w:tc>
              <w:tc>
                <w:tcPr>
                  <w:tcW w:w="1320" w:type="pct"/>
                  <w:vAlign w:val="center"/>
                </w:tcPr>
                <w:p>
                  <w:pPr>
                    <w:pStyle w:val="57"/>
                    <w:rPr>
                      <w:szCs w:val="21"/>
                    </w:rPr>
                  </w:pPr>
                  <w:r>
                    <w:rPr>
                      <w:kern w:val="0"/>
                      <w:szCs w:val="21"/>
                    </w:rPr>
                    <w:t>移动式液压补仓机</w:t>
                  </w:r>
                </w:p>
              </w:tc>
              <w:tc>
                <w:tcPr>
                  <w:tcW w:w="427" w:type="pct"/>
                  <w:vAlign w:val="center"/>
                </w:tcPr>
                <w:p>
                  <w:pPr>
                    <w:pStyle w:val="57"/>
                    <w:rPr>
                      <w:szCs w:val="21"/>
                    </w:rPr>
                  </w:pPr>
                  <w:r>
                    <w:rPr>
                      <w:kern w:val="0"/>
                      <w:szCs w:val="21"/>
                    </w:rPr>
                    <w:t>2</w:t>
                  </w:r>
                </w:p>
              </w:tc>
              <w:tc>
                <w:tcPr>
                  <w:tcW w:w="513" w:type="pct"/>
                  <w:vAlign w:val="center"/>
                </w:tcPr>
                <w:p>
                  <w:pPr>
                    <w:pStyle w:val="57"/>
                    <w:rPr>
                      <w:szCs w:val="21"/>
                    </w:rPr>
                  </w:pPr>
                  <w:r>
                    <w:rPr>
                      <w:szCs w:val="21"/>
                    </w:rPr>
                    <w:t>台</w:t>
                  </w:r>
                </w:p>
              </w:tc>
              <w:tc>
                <w:tcPr>
                  <w:tcW w:w="1614" w:type="pct"/>
                  <w:gridSpan w:val="2"/>
                  <w:vAlign w:val="center"/>
                </w:tcPr>
                <w:p>
                  <w:pPr>
                    <w:pStyle w:val="57"/>
                    <w:rPr>
                      <w:szCs w:val="21"/>
                    </w:rPr>
                  </w:pPr>
                  <w:r>
                    <w:rPr>
                      <w:kern w:val="0"/>
                      <w:szCs w:val="21"/>
                    </w:rPr>
                    <w:t>带宽650mm，长度12m+6m，100t/h</w:t>
                  </w:r>
                </w:p>
              </w:tc>
              <w:tc>
                <w:tcPr>
                  <w:tcW w:w="814" w:type="pct"/>
                  <w:vAlign w:val="center"/>
                </w:tcPr>
                <w:p>
                  <w:pPr>
                    <w:pStyle w:val="57"/>
                    <w:rPr>
                      <w:szCs w:val="21"/>
                    </w:rPr>
                  </w:pPr>
                  <w:r>
                    <w:rPr>
                      <w:rStyle w:val="47"/>
                      <w:rFonts w:hint="default" w:ascii="Times New Roman" w:hAnsi="Times New Roman"/>
                      <w:color w:val="auto"/>
                      <w:sz w:val="21"/>
                      <w:szCs w:val="21"/>
                    </w:rPr>
                    <w:t>补仓用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2" w:type="pct"/>
                  <w:vAlign w:val="center"/>
                </w:tcPr>
                <w:p>
                  <w:pPr>
                    <w:pStyle w:val="57"/>
                    <w:rPr>
                      <w:szCs w:val="21"/>
                    </w:rPr>
                  </w:pPr>
                  <w:r>
                    <w:rPr>
                      <w:szCs w:val="21"/>
                    </w:rPr>
                    <w:t>8</w:t>
                  </w:r>
                </w:p>
              </w:tc>
              <w:tc>
                <w:tcPr>
                  <w:tcW w:w="1320" w:type="pct"/>
                  <w:vAlign w:val="center"/>
                </w:tcPr>
                <w:p>
                  <w:pPr>
                    <w:pStyle w:val="57"/>
                    <w:rPr>
                      <w:szCs w:val="21"/>
                    </w:rPr>
                  </w:pPr>
                  <w:r>
                    <w:rPr>
                      <w:kern w:val="0"/>
                      <w:szCs w:val="21"/>
                    </w:rPr>
                    <w:t>移动式扒谷机</w:t>
                  </w:r>
                </w:p>
              </w:tc>
              <w:tc>
                <w:tcPr>
                  <w:tcW w:w="427" w:type="pct"/>
                  <w:vAlign w:val="center"/>
                </w:tcPr>
                <w:p>
                  <w:pPr>
                    <w:pStyle w:val="57"/>
                    <w:rPr>
                      <w:szCs w:val="21"/>
                    </w:rPr>
                  </w:pPr>
                  <w:r>
                    <w:rPr>
                      <w:kern w:val="0"/>
                      <w:szCs w:val="21"/>
                    </w:rPr>
                    <w:t>2</w:t>
                  </w:r>
                </w:p>
              </w:tc>
              <w:tc>
                <w:tcPr>
                  <w:tcW w:w="513" w:type="pct"/>
                  <w:vAlign w:val="center"/>
                </w:tcPr>
                <w:p>
                  <w:pPr>
                    <w:pStyle w:val="57"/>
                    <w:rPr>
                      <w:szCs w:val="21"/>
                    </w:rPr>
                  </w:pPr>
                  <w:r>
                    <w:rPr>
                      <w:szCs w:val="21"/>
                    </w:rPr>
                    <w:t>台</w:t>
                  </w:r>
                </w:p>
              </w:tc>
              <w:tc>
                <w:tcPr>
                  <w:tcW w:w="1614" w:type="pct"/>
                  <w:gridSpan w:val="2"/>
                  <w:vAlign w:val="center"/>
                </w:tcPr>
                <w:p>
                  <w:pPr>
                    <w:pStyle w:val="57"/>
                    <w:rPr>
                      <w:szCs w:val="21"/>
                    </w:rPr>
                  </w:pPr>
                  <w:r>
                    <w:rPr>
                      <w:kern w:val="0"/>
                      <w:szCs w:val="21"/>
                    </w:rPr>
                    <w:t>100t/h</w:t>
                  </w:r>
                </w:p>
              </w:tc>
              <w:tc>
                <w:tcPr>
                  <w:tcW w:w="814" w:type="pct"/>
                  <w:vAlign w:val="center"/>
                </w:tcPr>
                <w:p>
                  <w:pPr>
                    <w:pStyle w:val="57"/>
                    <w:rPr>
                      <w:szCs w:val="21"/>
                    </w:rPr>
                  </w:pPr>
                  <w:r>
                    <w:rPr>
                      <w:rStyle w:val="47"/>
                      <w:rFonts w:hint="default" w:ascii="Times New Roman" w:hAnsi="Times New Roman"/>
                      <w:color w:val="auto"/>
                      <w:sz w:val="21"/>
                      <w:szCs w:val="21"/>
                    </w:rPr>
                    <w:t>出仓用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2" w:type="pct"/>
                  <w:vAlign w:val="center"/>
                </w:tcPr>
                <w:p>
                  <w:pPr>
                    <w:pStyle w:val="57"/>
                    <w:rPr>
                      <w:szCs w:val="21"/>
                    </w:rPr>
                  </w:pPr>
                  <w:r>
                    <w:rPr>
                      <w:szCs w:val="21"/>
                    </w:rPr>
                    <w:t>9</w:t>
                  </w:r>
                </w:p>
              </w:tc>
              <w:tc>
                <w:tcPr>
                  <w:tcW w:w="1320" w:type="pct"/>
                  <w:vAlign w:val="center"/>
                </w:tcPr>
                <w:p>
                  <w:pPr>
                    <w:pStyle w:val="57"/>
                    <w:rPr>
                      <w:szCs w:val="21"/>
                    </w:rPr>
                  </w:pPr>
                  <w:r>
                    <w:rPr>
                      <w:kern w:val="0"/>
                      <w:szCs w:val="21"/>
                    </w:rPr>
                    <w:t>移动式液压升降台</w:t>
                  </w:r>
                </w:p>
              </w:tc>
              <w:tc>
                <w:tcPr>
                  <w:tcW w:w="427" w:type="pct"/>
                  <w:vAlign w:val="center"/>
                </w:tcPr>
                <w:p>
                  <w:pPr>
                    <w:pStyle w:val="57"/>
                    <w:rPr>
                      <w:szCs w:val="21"/>
                    </w:rPr>
                  </w:pPr>
                  <w:r>
                    <w:rPr>
                      <w:kern w:val="0"/>
                      <w:szCs w:val="21"/>
                    </w:rPr>
                    <w:t>1</w:t>
                  </w:r>
                </w:p>
              </w:tc>
              <w:tc>
                <w:tcPr>
                  <w:tcW w:w="513" w:type="pct"/>
                  <w:vAlign w:val="center"/>
                </w:tcPr>
                <w:p>
                  <w:pPr>
                    <w:pStyle w:val="57"/>
                    <w:rPr>
                      <w:szCs w:val="21"/>
                    </w:rPr>
                  </w:pPr>
                  <w:r>
                    <w:rPr>
                      <w:szCs w:val="21"/>
                    </w:rPr>
                    <w:t>台</w:t>
                  </w:r>
                </w:p>
              </w:tc>
              <w:tc>
                <w:tcPr>
                  <w:tcW w:w="1614" w:type="pct"/>
                  <w:gridSpan w:val="2"/>
                  <w:vAlign w:val="center"/>
                </w:tcPr>
                <w:p>
                  <w:pPr>
                    <w:pStyle w:val="57"/>
                    <w:rPr>
                      <w:szCs w:val="21"/>
                    </w:rPr>
                  </w:pPr>
                  <w:r>
                    <w:rPr>
                      <w:kern w:val="0"/>
                      <w:szCs w:val="21"/>
                    </w:rPr>
                    <w:t>升降高度9m</w:t>
                  </w:r>
                </w:p>
              </w:tc>
              <w:tc>
                <w:tcPr>
                  <w:tcW w:w="814" w:type="pct"/>
                  <w:vAlign w:val="center"/>
                </w:tcPr>
                <w:p>
                  <w:pPr>
                    <w:pStyle w:val="57"/>
                    <w:rPr>
                      <w:szCs w:val="21"/>
                    </w:rPr>
                  </w:pPr>
                  <w:r>
                    <w:rPr>
                      <w:rStyle w:val="47"/>
                      <w:rFonts w:hint="default" w:ascii="Times New Roman" w:hAnsi="Times New Roman"/>
                      <w:color w:val="auto"/>
                      <w:sz w:val="21"/>
                      <w:szCs w:val="21"/>
                    </w:rPr>
                    <w:t>维修用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2" w:type="pct"/>
                  <w:vAlign w:val="center"/>
                </w:tcPr>
                <w:p>
                  <w:pPr>
                    <w:pStyle w:val="57"/>
                    <w:rPr>
                      <w:szCs w:val="21"/>
                    </w:rPr>
                  </w:pPr>
                  <w:r>
                    <w:rPr>
                      <w:szCs w:val="21"/>
                    </w:rPr>
                    <w:t>10</w:t>
                  </w:r>
                </w:p>
              </w:tc>
              <w:tc>
                <w:tcPr>
                  <w:tcW w:w="1320" w:type="pct"/>
                  <w:vAlign w:val="center"/>
                </w:tcPr>
                <w:p>
                  <w:pPr>
                    <w:pStyle w:val="57"/>
                    <w:rPr>
                      <w:szCs w:val="21"/>
                    </w:rPr>
                  </w:pPr>
                  <w:r>
                    <w:rPr>
                      <w:kern w:val="0"/>
                      <w:szCs w:val="21"/>
                    </w:rPr>
                    <w:t>汽车散粮侧卸机</w:t>
                  </w:r>
                </w:p>
              </w:tc>
              <w:tc>
                <w:tcPr>
                  <w:tcW w:w="427" w:type="pct"/>
                  <w:vAlign w:val="center"/>
                </w:tcPr>
                <w:p>
                  <w:pPr>
                    <w:pStyle w:val="57"/>
                    <w:rPr>
                      <w:szCs w:val="21"/>
                    </w:rPr>
                  </w:pPr>
                  <w:r>
                    <w:rPr>
                      <w:kern w:val="0"/>
                      <w:szCs w:val="21"/>
                    </w:rPr>
                    <w:t>2</w:t>
                  </w:r>
                </w:p>
              </w:tc>
              <w:tc>
                <w:tcPr>
                  <w:tcW w:w="513" w:type="pct"/>
                  <w:vAlign w:val="center"/>
                </w:tcPr>
                <w:p>
                  <w:pPr>
                    <w:pStyle w:val="57"/>
                    <w:rPr>
                      <w:szCs w:val="21"/>
                    </w:rPr>
                  </w:pPr>
                  <w:r>
                    <w:rPr>
                      <w:szCs w:val="21"/>
                    </w:rPr>
                    <w:t>台</w:t>
                  </w:r>
                </w:p>
              </w:tc>
              <w:tc>
                <w:tcPr>
                  <w:tcW w:w="1614" w:type="pct"/>
                  <w:gridSpan w:val="2"/>
                  <w:vAlign w:val="center"/>
                </w:tcPr>
                <w:p>
                  <w:pPr>
                    <w:pStyle w:val="57"/>
                    <w:rPr>
                      <w:szCs w:val="21"/>
                    </w:rPr>
                  </w:pPr>
                  <w:r>
                    <w:rPr>
                      <w:kern w:val="0"/>
                      <w:szCs w:val="21"/>
                    </w:rPr>
                    <w:t>100t/h</w:t>
                  </w:r>
                </w:p>
              </w:tc>
              <w:tc>
                <w:tcPr>
                  <w:tcW w:w="814" w:type="pct"/>
                  <w:vAlign w:val="center"/>
                </w:tcPr>
                <w:p>
                  <w:pPr>
                    <w:pStyle w:val="57"/>
                    <w:rPr>
                      <w:szCs w:val="21"/>
                    </w:rPr>
                  </w:pPr>
                  <w:r>
                    <w:rPr>
                      <w:rStyle w:val="47"/>
                      <w:rFonts w:hint="default" w:ascii="Times New Roman" w:hAnsi="Times New Roman"/>
                      <w:color w:val="auto"/>
                      <w:sz w:val="21"/>
                      <w:szCs w:val="21"/>
                    </w:rPr>
                    <w:t>卸车用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2" w:type="pct"/>
                  <w:vAlign w:val="center"/>
                </w:tcPr>
                <w:p>
                  <w:pPr>
                    <w:pStyle w:val="57"/>
                    <w:rPr>
                      <w:szCs w:val="21"/>
                    </w:rPr>
                  </w:pPr>
                  <w:r>
                    <w:rPr>
                      <w:szCs w:val="21"/>
                    </w:rPr>
                    <w:t>11</w:t>
                  </w:r>
                </w:p>
              </w:tc>
              <w:tc>
                <w:tcPr>
                  <w:tcW w:w="1320" w:type="pct"/>
                  <w:vAlign w:val="center"/>
                </w:tcPr>
                <w:p>
                  <w:pPr>
                    <w:pStyle w:val="57"/>
                    <w:rPr>
                      <w:szCs w:val="21"/>
                    </w:rPr>
                  </w:pPr>
                  <w:r>
                    <w:rPr>
                      <w:kern w:val="0"/>
                      <w:szCs w:val="21"/>
                    </w:rPr>
                    <w:t>移动电源箱</w:t>
                  </w:r>
                </w:p>
              </w:tc>
              <w:tc>
                <w:tcPr>
                  <w:tcW w:w="427" w:type="pct"/>
                  <w:vAlign w:val="center"/>
                </w:tcPr>
                <w:p>
                  <w:pPr>
                    <w:pStyle w:val="57"/>
                    <w:rPr>
                      <w:szCs w:val="21"/>
                    </w:rPr>
                  </w:pPr>
                  <w:r>
                    <w:rPr>
                      <w:kern w:val="0"/>
                      <w:szCs w:val="21"/>
                    </w:rPr>
                    <w:t>2</w:t>
                  </w:r>
                </w:p>
              </w:tc>
              <w:tc>
                <w:tcPr>
                  <w:tcW w:w="513" w:type="pct"/>
                  <w:vAlign w:val="center"/>
                </w:tcPr>
                <w:p>
                  <w:pPr>
                    <w:pStyle w:val="57"/>
                    <w:rPr>
                      <w:szCs w:val="21"/>
                    </w:rPr>
                  </w:pPr>
                  <w:r>
                    <w:rPr>
                      <w:szCs w:val="21"/>
                    </w:rPr>
                    <w:t>台</w:t>
                  </w:r>
                </w:p>
              </w:tc>
              <w:tc>
                <w:tcPr>
                  <w:tcW w:w="1614" w:type="pct"/>
                  <w:gridSpan w:val="2"/>
                  <w:vAlign w:val="center"/>
                </w:tcPr>
                <w:p>
                  <w:pPr>
                    <w:pStyle w:val="57"/>
                    <w:rPr>
                      <w:szCs w:val="21"/>
                    </w:rPr>
                  </w:pPr>
                  <w:r>
                    <w:rPr>
                      <w:kern w:val="0"/>
                      <w:szCs w:val="21"/>
                    </w:rPr>
                    <w:t>6个四孔工业插座，分别为2个63A，4个32A，断路器一对一控制，2个220V5孔插座，进线电缆30米长</w:t>
                  </w:r>
                </w:p>
              </w:tc>
              <w:tc>
                <w:tcPr>
                  <w:tcW w:w="814" w:type="pct"/>
                  <w:vAlign w:val="center"/>
                </w:tcPr>
                <w:p>
                  <w:pPr>
                    <w:pStyle w:val="57"/>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7"/>
                  <w:vAlign w:val="center"/>
                </w:tcPr>
                <w:p>
                  <w:pPr>
                    <w:pStyle w:val="57"/>
                    <w:rPr>
                      <w:szCs w:val="21"/>
                    </w:rPr>
                  </w:pPr>
                  <w:r>
                    <w:rPr>
                      <w:szCs w:val="21"/>
                    </w:rPr>
                    <w:t>烘干中心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2" w:type="pct"/>
                  <w:vAlign w:val="center"/>
                </w:tcPr>
                <w:p>
                  <w:pPr>
                    <w:pStyle w:val="57"/>
                    <w:rPr>
                      <w:szCs w:val="21"/>
                    </w:rPr>
                  </w:pPr>
                  <w:r>
                    <w:rPr>
                      <w:rFonts w:hint="eastAsia"/>
                      <w:szCs w:val="21"/>
                    </w:rPr>
                    <w:t>12</w:t>
                  </w:r>
                </w:p>
              </w:tc>
              <w:tc>
                <w:tcPr>
                  <w:tcW w:w="1320" w:type="pct"/>
                  <w:vAlign w:val="center"/>
                </w:tcPr>
                <w:p>
                  <w:pPr>
                    <w:pStyle w:val="57"/>
                    <w:rPr>
                      <w:szCs w:val="21"/>
                    </w:rPr>
                  </w:pPr>
                  <w:r>
                    <w:rPr>
                      <w:rFonts w:hAnsi="宋体"/>
                      <w:kern w:val="0"/>
                      <w:szCs w:val="21"/>
                    </w:rPr>
                    <w:t>磁选器</w:t>
                  </w:r>
                </w:p>
              </w:tc>
              <w:tc>
                <w:tcPr>
                  <w:tcW w:w="427" w:type="pct"/>
                  <w:vAlign w:val="center"/>
                </w:tcPr>
                <w:p>
                  <w:pPr>
                    <w:pStyle w:val="57"/>
                    <w:rPr>
                      <w:szCs w:val="21"/>
                    </w:rPr>
                  </w:pPr>
                  <w:r>
                    <w:rPr>
                      <w:kern w:val="0"/>
                      <w:szCs w:val="21"/>
                    </w:rPr>
                    <w:t>1</w:t>
                  </w:r>
                </w:p>
              </w:tc>
              <w:tc>
                <w:tcPr>
                  <w:tcW w:w="513" w:type="pct"/>
                  <w:vAlign w:val="center"/>
                </w:tcPr>
                <w:p>
                  <w:pPr>
                    <w:pStyle w:val="57"/>
                    <w:rPr>
                      <w:szCs w:val="21"/>
                    </w:rPr>
                  </w:pPr>
                  <w:r>
                    <w:rPr>
                      <w:szCs w:val="21"/>
                    </w:rPr>
                    <w:t>台</w:t>
                  </w:r>
                </w:p>
              </w:tc>
              <w:tc>
                <w:tcPr>
                  <w:tcW w:w="1614" w:type="pct"/>
                  <w:gridSpan w:val="2"/>
                  <w:vAlign w:val="center"/>
                </w:tcPr>
                <w:p>
                  <w:pPr>
                    <w:pStyle w:val="57"/>
                    <w:rPr>
                      <w:szCs w:val="21"/>
                    </w:rPr>
                  </w:pPr>
                </w:p>
              </w:tc>
              <w:tc>
                <w:tcPr>
                  <w:tcW w:w="814" w:type="pct"/>
                  <w:vAlign w:val="center"/>
                </w:tcPr>
                <w:p>
                  <w:pPr>
                    <w:pStyle w:val="57"/>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2" w:type="pct"/>
                  <w:vAlign w:val="center"/>
                </w:tcPr>
                <w:p>
                  <w:pPr>
                    <w:pStyle w:val="57"/>
                    <w:rPr>
                      <w:szCs w:val="21"/>
                    </w:rPr>
                  </w:pPr>
                  <w:r>
                    <w:rPr>
                      <w:szCs w:val="21"/>
                    </w:rPr>
                    <w:t>13</w:t>
                  </w:r>
                </w:p>
              </w:tc>
              <w:tc>
                <w:tcPr>
                  <w:tcW w:w="1320" w:type="pct"/>
                  <w:vAlign w:val="center"/>
                </w:tcPr>
                <w:p>
                  <w:pPr>
                    <w:pStyle w:val="57"/>
                    <w:rPr>
                      <w:szCs w:val="21"/>
                    </w:rPr>
                  </w:pPr>
                  <w:r>
                    <w:rPr>
                      <w:rFonts w:hAnsi="宋体"/>
                      <w:kern w:val="0"/>
                      <w:szCs w:val="21"/>
                    </w:rPr>
                    <w:t>斗式提升机</w:t>
                  </w:r>
                </w:p>
              </w:tc>
              <w:tc>
                <w:tcPr>
                  <w:tcW w:w="427" w:type="pct"/>
                  <w:vAlign w:val="center"/>
                </w:tcPr>
                <w:p>
                  <w:pPr>
                    <w:pStyle w:val="57"/>
                    <w:rPr>
                      <w:szCs w:val="21"/>
                    </w:rPr>
                  </w:pPr>
                  <w:r>
                    <w:rPr>
                      <w:kern w:val="0"/>
                      <w:szCs w:val="21"/>
                    </w:rPr>
                    <w:t>1</w:t>
                  </w:r>
                </w:p>
              </w:tc>
              <w:tc>
                <w:tcPr>
                  <w:tcW w:w="513" w:type="pct"/>
                  <w:vAlign w:val="center"/>
                </w:tcPr>
                <w:p>
                  <w:pPr>
                    <w:pStyle w:val="57"/>
                    <w:rPr>
                      <w:szCs w:val="21"/>
                    </w:rPr>
                  </w:pPr>
                  <w:r>
                    <w:rPr>
                      <w:szCs w:val="21"/>
                    </w:rPr>
                    <w:t>台</w:t>
                  </w:r>
                </w:p>
              </w:tc>
              <w:tc>
                <w:tcPr>
                  <w:tcW w:w="1614" w:type="pct"/>
                  <w:gridSpan w:val="2"/>
                  <w:vAlign w:val="center"/>
                </w:tcPr>
                <w:p>
                  <w:pPr>
                    <w:pStyle w:val="57"/>
                    <w:rPr>
                      <w:szCs w:val="21"/>
                    </w:rPr>
                  </w:pPr>
                  <w:r>
                    <w:rPr>
                      <w:kern w:val="0"/>
                      <w:szCs w:val="21"/>
                    </w:rPr>
                    <w:t>Q=100t/h,H=15m</w:t>
                  </w:r>
                </w:p>
              </w:tc>
              <w:tc>
                <w:tcPr>
                  <w:tcW w:w="814" w:type="pct"/>
                  <w:vAlign w:val="center"/>
                </w:tcPr>
                <w:p>
                  <w:pPr>
                    <w:pStyle w:val="57"/>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2" w:type="pct"/>
                  <w:vAlign w:val="center"/>
                </w:tcPr>
                <w:p>
                  <w:pPr>
                    <w:pStyle w:val="57"/>
                    <w:rPr>
                      <w:szCs w:val="21"/>
                    </w:rPr>
                  </w:pPr>
                  <w:r>
                    <w:rPr>
                      <w:szCs w:val="21"/>
                    </w:rPr>
                    <w:t>14</w:t>
                  </w:r>
                </w:p>
              </w:tc>
              <w:tc>
                <w:tcPr>
                  <w:tcW w:w="1320" w:type="pct"/>
                  <w:vAlign w:val="center"/>
                </w:tcPr>
                <w:p>
                  <w:pPr>
                    <w:pStyle w:val="57"/>
                    <w:rPr>
                      <w:szCs w:val="21"/>
                    </w:rPr>
                  </w:pPr>
                  <w:r>
                    <w:rPr>
                      <w:rFonts w:hAnsi="宋体"/>
                      <w:kern w:val="0"/>
                      <w:szCs w:val="21"/>
                    </w:rPr>
                    <w:t>原粮初清筛</w:t>
                  </w:r>
                </w:p>
              </w:tc>
              <w:tc>
                <w:tcPr>
                  <w:tcW w:w="427" w:type="pct"/>
                  <w:vAlign w:val="center"/>
                </w:tcPr>
                <w:p>
                  <w:pPr>
                    <w:pStyle w:val="57"/>
                    <w:rPr>
                      <w:szCs w:val="21"/>
                    </w:rPr>
                  </w:pPr>
                  <w:r>
                    <w:rPr>
                      <w:kern w:val="0"/>
                      <w:szCs w:val="21"/>
                    </w:rPr>
                    <w:t>1</w:t>
                  </w:r>
                </w:p>
              </w:tc>
              <w:tc>
                <w:tcPr>
                  <w:tcW w:w="513" w:type="pct"/>
                  <w:vAlign w:val="center"/>
                </w:tcPr>
                <w:p>
                  <w:pPr>
                    <w:pStyle w:val="57"/>
                    <w:rPr>
                      <w:szCs w:val="21"/>
                    </w:rPr>
                  </w:pPr>
                  <w:r>
                    <w:rPr>
                      <w:szCs w:val="21"/>
                    </w:rPr>
                    <w:t>台</w:t>
                  </w:r>
                </w:p>
              </w:tc>
              <w:tc>
                <w:tcPr>
                  <w:tcW w:w="1614" w:type="pct"/>
                  <w:gridSpan w:val="2"/>
                  <w:vAlign w:val="center"/>
                </w:tcPr>
                <w:p>
                  <w:pPr>
                    <w:pStyle w:val="57"/>
                    <w:rPr>
                      <w:szCs w:val="21"/>
                    </w:rPr>
                  </w:pPr>
                  <w:r>
                    <w:rPr>
                      <w:kern w:val="0"/>
                      <w:szCs w:val="21"/>
                    </w:rPr>
                    <w:t>Q=100t/h</w:t>
                  </w:r>
                </w:p>
              </w:tc>
              <w:tc>
                <w:tcPr>
                  <w:tcW w:w="814" w:type="pct"/>
                  <w:vAlign w:val="center"/>
                </w:tcPr>
                <w:p>
                  <w:pPr>
                    <w:pStyle w:val="57"/>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2" w:type="pct"/>
                  <w:vAlign w:val="center"/>
                </w:tcPr>
                <w:p>
                  <w:pPr>
                    <w:pStyle w:val="57"/>
                    <w:rPr>
                      <w:szCs w:val="21"/>
                    </w:rPr>
                  </w:pPr>
                  <w:r>
                    <w:rPr>
                      <w:szCs w:val="21"/>
                    </w:rPr>
                    <w:t>15</w:t>
                  </w:r>
                </w:p>
              </w:tc>
              <w:tc>
                <w:tcPr>
                  <w:tcW w:w="1320" w:type="pct"/>
                  <w:vAlign w:val="center"/>
                </w:tcPr>
                <w:p>
                  <w:pPr>
                    <w:pStyle w:val="57"/>
                    <w:rPr>
                      <w:szCs w:val="21"/>
                    </w:rPr>
                  </w:pPr>
                  <w:r>
                    <w:rPr>
                      <w:rFonts w:hAnsi="宋体"/>
                      <w:kern w:val="0"/>
                      <w:szCs w:val="21"/>
                    </w:rPr>
                    <w:t>斗式提升机</w:t>
                  </w:r>
                </w:p>
              </w:tc>
              <w:tc>
                <w:tcPr>
                  <w:tcW w:w="427" w:type="pct"/>
                  <w:vAlign w:val="center"/>
                </w:tcPr>
                <w:p>
                  <w:pPr>
                    <w:pStyle w:val="57"/>
                    <w:rPr>
                      <w:szCs w:val="21"/>
                    </w:rPr>
                  </w:pPr>
                  <w:r>
                    <w:rPr>
                      <w:kern w:val="0"/>
                      <w:szCs w:val="21"/>
                    </w:rPr>
                    <w:t>1</w:t>
                  </w:r>
                </w:p>
              </w:tc>
              <w:tc>
                <w:tcPr>
                  <w:tcW w:w="513" w:type="pct"/>
                  <w:vAlign w:val="center"/>
                </w:tcPr>
                <w:p>
                  <w:pPr>
                    <w:pStyle w:val="57"/>
                    <w:rPr>
                      <w:szCs w:val="21"/>
                    </w:rPr>
                  </w:pPr>
                  <w:r>
                    <w:rPr>
                      <w:szCs w:val="21"/>
                    </w:rPr>
                    <w:t>台</w:t>
                  </w:r>
                </w:p>
              </w:tc>
              <w:tc>
                <w:tcPr>
                  <w:tcW w:w="1614" w:type="pct"/>
                  <w:gridSpan w:val="2"/>
                  <w:vAlign w:val="center"/>
                </w:tcPr>
                <w:p>
                  <w:pPr>
                    <w:pStyle w:val="57"/>
                    <w:rPr>
                      <w:szCs w:val="21"/>
                    </w:rPr>
                  </w:pPr>
                  <w:r>
                    <w:rPr>
                      <w:kern w:val="0"/>
                      <w:szCs w:val="21"/>
                    </w:rPr>
                    <w:t>Q=100t/h,H=25m</w:t>
                  </w:r>
                </w:p>
              </w:tc>
              <w:tc>
                <w:tcPr>
                  <w:tcW w:w="814" w:type="pct"/>
                  <w:vAlign w:val="center"/>
                </w:tcPr>
                <w:p>
                  <w:pPr>
                    <w:pStyle w:val="57"/>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2" w:type="pct"/>
                  <w:vAlign w:val="center"/>
                </w:tcPr>
                <w:p>
                  <w:pPr>
                    <w:pStyle w:val="57"/>
                    <w:rPr>
                      <w:szCs w:val="21"/>
                    </w:rPr>
                  </w:pPr>
                  <w:r>
                    <w:rPr>
                      <w:szCs w:val="21"/>
                    </w:rPr>
                    <w:t>16</w:t>
                  </w:r>
                </w:p>
              </w:tc>
              <w:tc>
                <w:tcPr>
                  <w:tcW w:w="1320" w:type="pct"/>
                  <w:vAlign w:val="center"/>
                </w:tcPr>
                <w:p>
                  <w:pPr>
                    <w:pStyle w:val="57"/>
                    <w:rPr>
                      <w:szCs w:val="21"/>
                    </w:rPr>
                  </w:pPr>
                  <w:r>
                    <w:rPr>
                      <w:rFonts w:hAnsi="宋体"/>
                      <w:kern w:val="0"/>
                      <w:szCs w:val="21"/>
                    </w:rPr>
                    <w:t>烘前仓</w:t>
                  </w:r>
                </w:p>
              </w:tc>
              <w:tc>
                <w:tcPr>
                  <w:tcW w:w="427" w:type="pct"/>
                  <w:vAlign w:val="center"/>
                </w:tcPr>
                <w:p>
                  <w:pPr>
                    <w:pStyle w:val="57"/>
                    <w:rPr>
                      <w:szCs w:val="21"/>
                    </w:rPr>
                  </w:pPr>
                  <w:r>
                    <w:rPr>
                      <w:kern w:val="0"/>
                      <w:szCs w:val="21"/>
                    </w:rPr>
                    <w:t>1</w:t>
                  </w:r>
                </w:p>
              </w:tc>
              <w:tc>
                <w:tcPr>
                  <w:tcW w:w="513" w:type="pct"/>
                  <w:vAlign w:val="center"/>
                </w:tcPr>
                <w:p>
                  <w:pPr>
                    <w:pStyle w:val="57"/>
                    <w:rPr>
                      <w:szCs w:val="21"/>
                    </w:rPr>
                  </w:pPr>
                  <w:r>
                    <w:rPr>
                      <w:szCs w:val="21"/>
                    </w:rPr>
                    <w:t>台</w:t>
                  </w:r>
                </w:p>
              </w:tc>
              <w:tc>
                <w:tcPr>
                  <w:tcW w:w="1614" w:type="pct"/>
                  <w:gridSpan w:val="2"/>
                  <w:vAlign w:val="center"/>
                </w:tcPr>
                <w:p>
                  <w:pPr>
                    <w:pStyle w:val="57"/>
                    <w:rPr>
                      <w:szCs w:val="21"/>
                    </w:rPr>
                  </w:pPr>
                  <w:r>
                    <w:rPr>
                      <w:kern w:val="0"/>
                      <w:szCs w:val="21"/>
                    </w:rPr>
                    <w:t>400t</w:t>
                  </w:r>
                </w:p>
              </w:tc>
              <w:tc>
                <w:tcPr>
                  <w:tcW w:w="814" w:type="pct"/>
                  <w:vAlign w:val="center"/>
                </w:tcPr>
                <w:p>
                  <w:pPr>
                    <w:pStyle w:val="57"/>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2" w:type="pct"/>
                  <w:vAlign w:val="center"/>
                </w:tcPr>
                <w:p>
                  <w:pPr>
                    <w:pStyle w:val="57"/>
                    <w:rPr>
                      <w:szCs w:val="21"/>
                    </w:rPr>
                  </w:pPr>
                  <w:r>
                    <w:rPr>
                      <w:szCs w:val="21"/>
                    </w:rPr>
                    <w:t>17</w:t>
                  </w:r>
                </w:p>
              </w:tc>
              <w:tc>
                <w:tcPr>
                  <w:tcW w:w="1320" w:type="pct"/>
                  <w:vAlign w:val="center"/>
                </w:tcPr>
                <w:p>
                  <w:pPr>
                    <w:pStyle w:val="57"/>
                    <w:rPr>
                      <w:szCs w:val="21"/>
                    </w:rPr>
                  </w:pPr>
                  <w:r>
                    <w:rPr>
                      <w:rFonts w:hAnsi="宋体"/>
                      <w:kern w:val="0"/>
                      <w:szCs w:val="21"/>
                    </w:rPr>
                    <w:t>上料位器</w:t>
                  </w:r>
                </w:p>
              </w:tc>
              <w:tc>
                <w:tcPr>
                  <w:tcW w:w="427" w:type="pct"/>
                  <w:vAlign w:val="center"/>
                </w:tcPr>
                <w:p>
                  <w:pPr>
                    <w:pStyle w:val="57"/>
                    <w:rPr>
                      <w:szCs w:val="21"/>
                    </w:rPr>
                  </w:pPr>
                  <w:r>
                    <w:rPr>
                      <w:kern w:val="0"/>
                      <w:szCs w:val="21"/>
                    </w:rPr>
                    <w:t>1</w:t>
                  </w:r>
                </w:p>
              </w:tc>
              <w:tc>
                <w:tcPr>
                  <w:tcW w:w="513" w:type="pct"/>
                  <w:vAlign w:val="center"/>
                </w:tcPr>
                <w:p>
                  <w:pPr>
                    <w:pStyle w:val="57"/>
                    <w:rPr>
                      <w:szCs w:val="21"/>
                    </w:rPr>
                  </w:pPr>
                  <w:r>
                    <w:rPr>
                      <w:szCs w:val="21"/>
                    </w:rPr>
                    <w:t>台</w:t>
                  </w:r>
                </w:p>
              </w:tc>
              <w:tc>
                <w:tcPr>
                  <w:tcW w:w="1614" w:type="pct"/>
                  <w:gridSpan w:val="2"/>
                  <w:vAlign w:val="center"/>
                </w:tcPr>
                <w:p>
                  <w:pPr>
                    <w:pStyle w:val="57"/>
                    <w:rPr>
                      <w:szCs w:val="21"/>
                    </w:rPr>
                  </w:pPr>
                </w:p>
              </w:tc>
              <w:tc>
                <w:tcPr>
                  <w:tcW w:w="814" w:type="pct"/>
                  <w:vAlign w:val="center"/>
                </w:tcPr>
                <w:p>
                  <w:pPr>
                    <w:pStyle w:val="57"/>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2" w:type="pct"/>
                  <w:vAlign w:val="center"/>
                </w:tcPr>
                <w:p>
                  <w:pPr>
                    <w:pStyle w:val="57"/>
                    <w:rPr>
                      <w:szCs w:val="21"/>
                    </w:rPr>
                  </w:pPr>
                  <w:r>
                    <w:rPr>
                      <w:szCs w:val="21"/>
                    </w:rPr>
                    <w:t>18</w:t>
                  </w:r>
                </w:p>
              </w:tc>
              <w:tc>
                <w:tcPr>
                  <w:tcW w:w="1320" w:type="pct"/>
                  <w:vAlign w:val="center"/>
                </w:tcPr>
                <w:p>
                  <w:pPr>
                    <w:pStyle w:val="57"/>
                    <w:rPr>
                      <w:szCs w:val="21"/>
                    </w:rPr>
                  </w:pPr>
                  <w:r>
                    <w:rPr>
                      <w:rFonts w:hAnsi="宋体"/>
                      <w:kern w:val="0"/>
                      <w:szCs w:val="21"/>
                    </w:rPr>
                    <w:t>下料位器</w:t>
                  </w:r>
                </w:p>
              </w:tc>
              <w:tc>
                <w:tcPr>
                  <w:tcW w:w="427" w:type="pct"/>
                  <w:vAlign w:val="center"/>
                </w:tcPr>
                <w:p>
                  <w:pPr>
                    <w:pStyle w:val="57"/>
                    <w:rPr>
                      <w:szCs w:val="21"/>
                    </w:rPr>
                  </w:pPr>
                  <w:r>
                    <w:rPr>
                      <w:kern w:val="0"/>
                      <w:szCs w:val="21"/>
                    </w:rPr>
                    <w:t>1</w:t>
                  </w:r>
                </w:p>
              </w:tc>
              <w:tc>
                <w:tcPr>
                  <w:tcW w:w="513" w:type="pct"/>
                  <w:vAlign w:val="center"/>
                </w:tcPr>
                <w:p>
                  <w:pPr>
                    <w:pStyle w:val="57"/>
                    <w:rPr>
                      <w:szCs w:val="21"/>
                    </w:rPr>
                  </w:pPr>
                  <w:r>
                    <w:rPr>
                      <w:szCs w:val="21"/>
                    </w:rPr>
                    <w:t>台</w:t>
                  </w:r>
                </w:p>
              </w:tc>
              <w:tc>
                <w:tcPr>
                  <w:tcW w:w="1614" w:type="pct"/>
                  <w:gridSpan w:val="2"/>
                  <w:vAlign w:val="center"/>
                </w:tcPr>
                <w:p>
                  <w:pPr>
                    <w:pStyle w:val="57"/>
                    <w:rPr>
                      <w:szCs w:val="21"/>
                    </w:rPr>
                  </w:pPr>
                </w:p>
              </w:tc>
              <w:tc>
                <w:tcPr>
                  <w:tcW w:w="814" w:type="pct"/>
                  <w:vAlign w:val="center"/>
                </w:tcPr>
                <w:p>
                  <w:pPr>
                    <w:pStyle w:val="57"/>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2" w:type="pct"/>
                  <w:vAlign w:val="center"/>
                </w:tcPr>
                <w:p>
                  <w:pPr>
                    <w:pStyle w:val="57"/>
                    <w:rPr>
                      <w:szCs w:val="21"/>
                    </w:rPr>
                  </w:pPr>
                  <w:r>
                    <w:rPr>
                      <w:szCs w:val="21"/>
                    </w:rPr>
                    <w:t>19</w:t>
                  </w:r>
                </w:p>
              </w:tc>
              <w:tc>
                <w:tcPr>
                  <w:tcW w:w="1320" w:type="pct"/>
                  <w:vAlign w:val="center"/>
                </w:tcPr>
                <w:p>
                  <w:pPr>
                    <w:pStyle w:val="57"/>
                    <w:rPr>
                      <w:szCs w:val="21"/>
                    </w:rPr>
                  </w:pPr>
                  <w:r>
                    <w:rPr>
                      <w:rFonts w:hAnsi="宋体"/>
                      <w:kern w:val="0"/>
                      <w:szCs w:val="21"/>
                    </w:rPr>
                    <w:t>电手动闸门</w:t>
                  </w:r>
                </w:p>
              </w:tc>
              <w:tc>
                <w:tcPr>
                  <w:tcW w:w="427" w:type="pct"/>
                  <w:vAlign w:val="center"/>
                </w:tcPr>
                <w:p>
                  <w:pPr>
                    <w:pStyle w:val="57"/>
                    <w:rPr>
                      <w:szCs w:val="21"/>
                    </w:rPr>
                  </w:pPr>
                  <w:r>
                    <w:rPr>
                      <w:kern w:val="0"/>
                      <w:szCs w:val="21"/>
                    </w:rPr>
                    <w:t>1</w:t>
                  </w:r>
                </w:p>
              </w:tc>
              <w:tc>
                <w:tcPr>
                  <w:tcW w:w="513" w:type="pct"/>
                  <w:vAlign w:val="center"/>
                </w:tcPr>
                <w:p>
                  <w:pPr>
                    <w:pStyle w:val="57"/>
                    <w:rPr>
                      <w:szCs w:val="21"/>
                    </w:rPr>
                  </w:pPr>
                  <w:r>
                    <w:rPr>
                      <w:szCs w:val="21"/>
                    </w:rPr>
                    <w:t>台</w:t>
                  </w:r>
                </w:p>
              </w:tc>
              <w:tc>
                <w:tcPr>
                  <w:tcW w:w="1614" w:type="pct"/>
                  <w:gridSpan w:val="2"/>
                  <w:vAlign w:val="center"/>
                </w:tcPr>
                <w:p>
                  <w:pPr>
                    <w:pStyle w:val="57"/>
                    <w:rPr>
                      <w:szCs w:val="21"/>
                    </w:rPr>
                  </w:pPr>
                  <w:r>
                    <w:rPr>
                      <w:kern w:val="0"/>
                      <w:szCs w:val="21"/>
                    </w:rPr>
                    <w:t>Q=100t/h</w:t>
                  </w:r>
                </w:p>
              </w:tc>
              <w:tc>
                <w:tcPr>
                  <w:tcW w:w="814" w:type="pct"/>
                  <w:vAlign w:val="center"/>
                </w:tcPr>
                <w:p>
                  <w:pPr>
                    <w:pStyle w:val="57"/>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2" w:type="pct"/>
                  <w:vAlign w:val="center"/>
                </w:tcPr>
                <w:p>
                  <w:pPr>
                    <w:pStyle w:val="57"/>
                    <w:rPr>
                      <w:szCs w:val="21"/>
                    </w:rPr>
                  </w:pPr>
                  <w:r>
                    <w:rPr>
                      <w:szCs w:val="21"/>
                    </w:rPr>
                    <w:t>20</w:t>
                  </w:r>
                </w:p>
              </w:tc>
              <w:tc>
                <w:tcPr>
                  <w:tcW w:w="1320" w:type="pct"/>
                  <w:vAlign w:val="center"/>
                </w:tcPr>
                <w:p>
                  <w:pPr>
                    <w:pStyle w:val="57"/>
                    <w:rPr>
                      <w:szCs w:val="21"/>
                    </w:rPr>
                  </w:pPr>
                  <w:r>
                    <w:rPr>
                      <w:rFonts w:hAnsi="宋体"/>
                      <w:kern w:val="0"/>
                      <w:szCs w:val="21"/>
                    </w:rPr>
                    <w:t>皮带输送机</w:t>
                  </w:r>
                </w:p>
              </w:tc>
              <w:tc>
                <w:tcPr>
                  <w:tcW w:w="427" w:type="pct"/>
                  <w:vAlign w:val="center"/>
                </w:tcPr>
                <w:p>
                  <w:pPr>
                    <w:pStyle w:val="57"/>
                    <w:rPr>
                      <w:szCs w:val="21"/>
                    </w:rPr>
                  </w:pPr>
                  <w:r>
                    <w:rPr>
                      <w:kern w:val="0"/>
                      <w:szCs w:val="21"/>
                    </w:rPr>
                    <w:t>1</w:t>
                  </w:r>
                </w:p>
              </w:tc>
              <w:tc>
                <w:tcPr>
                  <w:tcW w:w="513" w:type="pct"/>
                  <w:vAlign w:val="center"/>
                </w:tcPr>
                <w:p>
                  <w:pPr>
                    <w:pStyle w:val="57"/>
                    <w:rPr>
                      <w:szCs w:val="21"/>
                    </w:rPr>
                  </w:pPr>
                  <w:r>
                    <w:rPr>
                      <w:szCs w:val="21"/>
                    </w:rPr>
                    <w:t>台</w:t>
                  </w:r>
                </w:p>
              </w:tc>
              <w:tc>
                <w:tcPr>
                  <w:tcW w:w="1614" w:type="pct"/>
                  <w:gridSpan w:val="2"/>
                  <w:vAlign w:val="center"/>
                </w:tcPr>
                <w:p>
                  <w:pPr>
                    <w:pStyle w:val="57"/>
                    <w:rPr>
                      <w:szCs w:val="21"/>
                    </w:rPr>
                  </w:pPr>
                  <w:r>
                    <w:rPr>
                      <w:kern w:val="0"/>
                      <w:szCs w:val="21"/>
                    </w:rPr>
                    <w:t>Q=70t/h,L=6.3m,a=6°</w:t>
                  </w:r>
                </w:p>
              </w:tc>
              <w:tc>
                <w:tcPr>
                  <w:tcW w:w="814" w:type="pct"/>
                  <w:vAlign w:val="center"/>
                </w:tcPr>
                <w:p>
                  <w:pPr>
                    <w:pStyle w:val="57"/>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2" w:type="pct"/>
                  <w:vAlign w:val="center"/>
                </w:tcPr>
                <w:p>
                  <w:pPr>
                    <w:pStyle w:val="57"/>
                    <w:rPr>
                      <w:szCs w:val="21"/>
                    </w:rPr>
                  </w:pPr>
                  <w:r>
                    <w:rPr>
                      <w:szCs w:val="21"/>
                    </w:rPr>
                    <w:t>21</w:t>
                  </w:r>
                </w:p>
              </w:tc>
              <w:tc>
                <w:tcPr>
                  <w:tcW w:w="1320" w:type="pct"/>
                  <w:vAlign w:val="center"/>
                </w:tcPr>
                <w:p>
                  <w:pPr>
                    <w:pStyle w:val="57"/>
                    <w:rPr>
                      <w:szCs w:val="21"/>
                    </w:rPr>
                  </w:pPr>
                  <w:r>
                    <w:rPr>
                      <w:rFonts w:hAnsi="宋体"/>
                      <w:kern w:val="0"/>
                      <w:szCs w:val="21"/>
                    </w:rPr>
                    <w:t>斗式提升机</w:t>
                  </w:r>
                </w:p>
              </w:tc>
              <w:tc>
                <w:tcPr>
                  <w:tcW w:w="427" w:type="pct"/>
                  <w:vAlign w:val="center"/>
                </w:tcPr>
                <w:p>
                  <w:pPr>
                    <w:pStyle w:val="57"/>
                    <w:rPr>
                      <w:szCs w:val="21"/>
                    </w:rPr>
                  </w:pPr>
                  <w:r>
                    <w:rPr>
                      <w:kern w:val="0"/>
                      <w:szCs w:val="21"/>
                    </w:rPr>
                    <w:t>1</w:t>
                  </w:r>
                </w:p>
              </w:tc>
              <w:tc>
                <w:tcPr>
                  <w:tcW w:w="513" w:type="pct"/>
                  <w:vAlign w:val="center"/>
                </w:tcPr>
                <w:p>
                  <w:pPr>
                    <w:pStyle w:val="57"/>
                    <w:rPr>
                      <w:szCs w:val="21"/>
                    </w:rPr>
                  </w:pPr>
                  <w:r>
                    <w:rPr>
                      <w:szCs w:val="21"/>
                    </w:rPr>
                    <w:t>台</w:t>
                  </w:r>
                </w:p>
              </w:tc>
              <w:tc>
                <w:tcPr>
                  <w:tcW w:w="1614" w:type="pct"/>
                  <w:gridSpan w:val="2"/>
                  <w:vAlign w:val="center"/>
                </w:tcPr>
                <w:p>
                  <w:pPr>
                    <w:pStyle w:val="57"/>
                    <w:rPr>
                      <w:szCs w:val="21"/>
                    </w:rPr>
                  </w:pPr>
                  <w:r>
                    <w:rPr>
                      <w:kern w:val="0"/>
                      <w:szCs w:val="21"/>
                    </w:rPr>
                    <w:t>Q=70t/h,H=30m</w:t>
                  </w:r>
                </w:p>
              </w:tc>
              <w:tc>
                <w:tcPr>
                  <w:tcW w:w="814" w:type="pct"/>
                  <w:vAlign w:val="center"/>
                </w:tcPr>
                <w:p>
                  <w:pPr>
                    <w:pStyle w:val="57"/>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2" w:type="pct"/>
                  <w:vAlign w:val="center"/>
                </w:tcPr>
                <w:p>
                  <w:pPr>
                    <w:pStyle w:val="57"/>
                    <w:rPr>
                      <w:szCs w:val="21"/>
                    </w:rPr>
                  </w:pPr>
                  <w:r>
                    <w:rPr>
                      <w:szCs w:val="21"/>
                    </w:rPr>
                    <w:t>22</w:t>
                  </w:r>
                </w:p>
              </w:tc>
              <w:tc>
                <w:tcPr>
                  <w:tcW w:w="1320" w:type="pct"/>
                  <w:vAlign w:val="center"/>
                </w:tcPr>
                <w:p>
                  <w:pPr>
                    <w:pStyle w:val="57"/>
                    <w:rPr>
                      <w:szCs w:val="21"/>
                    </w:rPr>
                  </w:pPr>
                  <w:r>
                    <w:rPr>
                      <w:rFonts w:hAnsi="宋体"/>
                      <w:kern w:val="0"/>
                      <w:szCs w:val="21"/>
                    </w:rPr>
                    <w:t>烘干塔</w:t>
                  </w:r>
                </w:p>
              </w:tc>
              <w:tc>
                <w:tcPr>
                  <w:tcW w:w="427" w:type="pct"/>
                  <w:vAlign w:val="center"/>
                </w:tcPr>
                <w:p>
                  <w:pPr>
                    <w:pStyle w:val="57"/>
                    <w:rPr>
                      <w:szCs w:val="21"/>
                    </w:rPr>
                  </w:pPr>
                  <w:r>
                    <w:rPr>
                      <w:kern w:val="0"/>
                      <w:szCs w:val="21"/>
                    </w:rPr>
                    <w:t>1</w:t>
                  </w:r>
                </w:p>
              </w:tc>
              <w:tc>
                <w:tcPr>
                  <w:tcW w:w="513" w:type="pct"/>
                  <w:vAlign w:val="center"/>
                </w:tcPr>
                <w:p>
                  <w:pPr>
                    <w:pStyle w:val="57"/>
                    <w:rPr>
                      <w:szCs w:val="21"/>
                    </w:rPr>
                  </w:pPr>
                  <w:r>
                    <w:rPr>
                      <w:szCs w:val="21"/>
                    </w:rPr>
                    <w:t>台</w:t>
                  </w:r>
                </w:p>
              </w:tc>
              <w:tc>
                <w:tcPr>
                  <w:tcW w:w="1614" w:type="pct"/>
                  <w:gridSpan w:val="2"/>
                  <w:vAlign w:val="center"/>
                </w:tcPr>
                <w:p>
                  <w:pPr>
                    <w:pStyle w:val="57"/>
                    <w:rPr>
                      <w:szCs w:val="21"/>
                    </w:rPr>
                  </w:pPr>
                  <w:r>
                    <w:rPr>
                      <w:kern w:val="0"/>
                      <w:szCs w:val="21"/>
                    </w:rPr>
                    <w:t>300t/d</w:t>
                  </w:r>
                </w:p>
              </w:tc>
              <w:tc>
                <w:tcPr>
                  <w:tcW w:w="814" w:type="pct"/>
                  <w:vAlign w:val="center"/>
                </w:tcPr>
                <w:p>
                  <w:pPr>
                    <w:pStyle w:val="57"/>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2" w:type="pct"/>
                  <w:vAlign w:val="center"/>
                </w:tcPr>
                <w:p>
                  <w:pPr>
                    <w:pStyle w:val="57"/>
                    <w:rPr>
                      <w:szCs w:val="21"/>
                    </w:rPr>
                  </w:pPr>
                  <w:r>
                    <w:rPr>
                      <w:szCs w:val="21"/>
                    </w:rPr>
                    <w:t>23</w:t>
                  </w:r>
                </w:p>
              </w:tc>
              <w:tc>
                <w:tcPr>
                  <w:tcW w:w="1320" w:type="pct"/>
                  <w:vAlign w:val="center"/>
                </w:tcPr>
                <w:p>
                  <w:pPr>
                    <w:pStyle w:val="57"/>
                    <w:rPr>
                      <w:szCs w:val="21"/>
                    </w:rPr>
                  </w:pPr>
                  <w:r>
                    <w:rPr>
                      <w:rFonts w:hAnsi="宋体"/>
                      <w:kern w:val="0"/>
                      <w:szCs w:val="21"/>
                    </w:rPr>
                    <w:t>热风机（与烘干塔配套）</w:t>
                  </w:r>
                </w:p>
              </w:tc>
              <w:tc>
                <w:tcPr>
                  <w:tcW w:w="427" w:type="pct"/>
                  <w:vAlign w:val="center"/>
                </w:tcPr>
                <w:p>
                  <w:pPr>
                    <w:pStyle w:val="57"/>
                    <w:rPr>
                      <w:szCs w:val="21"/>
                    </w:rPr>
                  </w:pPr>
                  <w:r>
                    <w:rPr>
                      <w:kern w:val="0"/>
                      <w:szCs w:val="21"/>
                    </w:rPr>
                    <w:t>1</w:t>
                  </w:r>
                </w:p>
              </w:tc>
              <w:tc>
                <w:tcPr>
                  <w:tcW w:w="513" w:type="pct"/>
                  <w:vAlign w:val="center"/>
                </w:tcPr>
                <w:p>
                  <w:pPr>
                    <w:pStyle w:val="57"/>
                    <w:rPr>
                      <w:szCs w:val="21"/>
                    </w:rPr>
                  </w:pPr>
                  <w:r>
                    <w:rPr>
                      <w:szCs w:val="21"/>
                    </w:rPr>
                    <w:t>台</w:t>
                  </w:r>
                </w:p>
              </w:tc>
              <w:tc>
                <w:tcPr>
                  <w:tcW w:w="1614" w:type="pct"/>
                  <w:gridSpan w:val="2"/>
                  <w:vAlign w:val="center"/>
                </w:tcPr>
                <w:p>
                  <w:pPr>
                    <w:pStyle w:val="57"/>
                    <w:rPr>
                      <w:szCs w:val="21"/>
                    </w:rPr>
                  </w:pPr>
                  <w:r>
                    <w:rPr>
                      <w:kern w:val="0"/>
                      <w:szCs w:val="21"/>
                    </w:rPr>
                    <w:t>Y4-73No10.5D</w:t>
                  </w:r>
                </w:p>
              </w:tc>
              <w:tc>
                <w:tcPr>
                  <w:tcW w:w="814" w:type="pct"/>
                  <w:vMerge w:val="restart"/>
                  <w:vAlign w:val="center"/>
                </w:tcPr>
                <w:p>
                  <w:pPr>
                    <w:pStyle w:val="57"/>
                    <w:rPr>
                      <w:szCs w:val="21"/>
                    </w:rPr>
                  </w:pPr>
                  <w:r>
                    <w:rPr>
                      <w:rFonts w:hint="eastAsia"/>
                      <w:szCs w:val="21"/>
                    </w:rPr>
                    <w:t>一用一备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2" w:type="pct"/>
                  <w:vAlign w:val="center"/>
                </w:tcPr>
                <w:p>
                  <w:pPr>
                    <w:pStyle w:val="57"/>
                    <w:rPr>
                      <w:szCs w:val="21"/>
                    </w:rPr>
                  </w:pPr>
                  <w:r>
                    <w:rPr>
                      <w:szCs w:val="21"/>
                    </w:rPr>
                    <w:t>24</w:t>
                  </w:r>
                </w:p>
              </w:tc>
              <w:tc>
                <w:tcPr>
                  <w:tcW w:w="1320" w:type="pct"/>
                  <w:vAlign w:val="center"/>
                </w:tcPr>
                <w:p>
                  <w:pPr>
                    <w:pStyle w:val="57"/>
                    <w:rPr>
                      <w:szCs w:val="21"/>
                    </w:rPr>
                  </w:pPr>
                  <w:r>
                    <w:rPr>
                      <w:rFonts w:hAnsi="宋体"/>
                      <w:kern w:val="0"/>
                      <w:szCs w:val="21"/>
                    </w:rPr>
                    <w:t>热风机（与烘干塔配套）</w:t>
                  </w:r>
                </w:p>
              </w:tc>
              <w:tc>
                <w:tcPr>
                  <w:tcW w:w="427" w:type="pct"/>
                  <w:vAlign w:val="center"/>
                </w:tcPr>
                <w:p>
                  <w:pPr>
                    <w:pStyle w:val="57"/>
                    <w:rPr>
                      <w:szCs w:val="21"/>
                    </w:rPr>
                  </w:pPr>
                  <w:r>
                    <w:rPr>
                      <w:kern w:val="0"/>
                      <w:szCs w:val="21"/>
                    </w:rPr>
                    <w:t>1</w:t>
                  </w:r>
                </w:p>
              </w:tc>
              <w:tc>
                <w:tcPr>
                  <w:tcW w:w="513" w:type="pct"/>
                  <w:vAlign w:val="center"/>
                </w:tcPr>
                <w:p>
                  <w:pPr>
                    <w:pStyle w:val="57"/>
                    <w:rPr>
                      <w:szCs w:val="21"/>
                    </w:rPr>
                  </w:pPr>
                  <w:r>
                    <w:rPr>
                      <w:szCs w:val="21"/>
                    </w:rPr>
                    <w:t>台</w:t>
                  </w:r>
                </w:p>
              </w:tc>
              <w:tc>
                <w:tcPr>
                  <w:tcW w:w="1614" w:type="pct"/>
                  <w:gridSpan w:val="2"/>
                  <w:vAlign w:val="center"/>
                </w:tcPr>
                <w:p>
                  <w:pPr>
                    <w:pStyle w:val="57"/>
                    <w:rPr>
                      <w:szCs w:val="21"/>
                    </w:rPr>
                  </w:pPr>
                  <w:r>
                    <w:rPr>
                      <w:kern w:val="0"/>
                      <w:szCs w:val="21"/>
                    </w:rPr>
                    <w:t>Y4-73No10D</w:t>
                  </w:r>
                </w:p>
              </w:tc>
              <w:tc>
                <w:tcPr>
                  <w:tcW w:w="814" w:type="pct"/>
                  <w:vMerge w:val="continue"/>
                  <w:vAlign w:val="center"/>
                </w:tcPr>
                <w:p>
                  <w:pPr>
                    <w:pStyle w:val="57"/>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2" w:type="pct"/>
                  <w:vAlign w:val="center"/>
                </w:tcPr>
                <w:p>
                  <w:pPr>
                    <w:pStyle w:val="57"/>
                    <w:rPr>
                      <w:szCs w:val="21"/>
                    </w:rPr>
                  </w:pPr>
                  <w:r>
                    <w:rPr>
                      <w:szCs w:val="21"/>
                    </w:rPr>
                    <w:t>25</w:t>
                  </w:r>
                </w:p>
              </w:tc>
              <w:tc>
                <w:tcPr>
                  <w:tcW w:w="1320" w:type="pct"/>
                  <w:vAlign w:val="center"/>
                </w:tcPr>
                <w:p>
                  <w:pPr>
                    <w:pStyle w:val="57"/>
                    <w:rPr>
                      <w:szCs w:val="21"/>
                    </w:rPr>
                  </w:pPr>
                  <w:r>
                    <w:rPr>
                      <w:rFonts w:hAnsi="宋体"/>
                      <w:kern w:val="0"/>
                      <w:szCs w:val="21"/>
                    </w:rPr>
                    <w:t>冷却风机（与烘干塔配套）</w:t>
                  </w:r>
                </w:p>
              </w:tc>
              <w:tc>
                <w:tcPr>
                  <w:tcW w:w="427" w:type="pct"/>
                  <w:vAlign w:val="center"/>
                </w:tcPr>
                <w:p>
                  <w:pPr>
                    <w:pStyle w:val="57"/>
                    <w:rPr>
                      <w:szCs w:val="21"/>
                    </w:rPr>
                  </w:pPr>
                  <w:r>
                    <w:rPr>
                      <w:kern w:val="0"/>
                      <w:szCs w:val="21"/>
                    </w:rPr>
                    <w:t>1</w:t>
                  </w:r>
                </w:p>
              </w:tc>
              <w:tc>
                <w:tcPr>
                  <w:tcW w:w="513" w:type="pct"/>
                  <w:vAlign w:val="center"/>
                </w:tcPr>
                <w:p>
                  <w:pPr>
                    <w:pStyle w:val="57"/>
                    <w:rPr>
                      <w:szCs w:val="21"/>
                    </w:rPr>
                  </w:pPr>
                  <w:r>
                    <w:rPr>
                      <w:szCs w:val="21"/>
                    </w:rPr>
                    <w:t>台</w:t>
                  </w:r>
                </w:p>
              </w:tc>
              <w:tc>
                <w:tcPr>
                  <w:tcW w:w="1614" w:type="pct"/>
                  <w:gridSpan w:val="2"/>
                  <w:vAlign w:val="center"/>
                </w:tcPr>
                <w:p>
                  <w:pPr>
                    <w:pStyle w:val="57"/>
                    <w:rPr>
                      <w:szCs w:val="21"/>
                    </w:rPr>
                  </w:pPr>
                  <w:r>
                    <w:rPr>
                      <w:kern w:val="0"/>
                      <w:szCs w:val="21"/>
                    </w:rPr>
                    <w:t>4-72NO10D</w:t>
                  </w:r>
                </w:p>
              </w:tc>
              <w:tc>
                <w:tcPr>
                  <w:tcW w:w="814" w:type="pct"/>
                  <w:vAlign w:val="center"/>
                </w:tcPr>
                <w:p>
                  <w:pPr>
                    <w:pStyle w:val="57"/>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2" w:type="pct"/>
                  <w:vAlign w:val="center"/>
                </w:tcPr>
                <w:p>
                  <w:pPr>
                    <w:pStyle w:val="57"/>
                    <w:rPr>
                      <w:szCs w:val="21"/>
                    </w:rPr>
                  </w:pPr>
                  <w:r>
                    <w:rPr>
                      <w:szCs w:val="21"/>
                    </w:rPr>
                    <w:t>26</w:t>
                  </w:r>
                </w:p>
              </w:tc>
              <w:tc>
                <w:tcPr>
                  <w:tcW w:w="1320" w:type="pct"/>
                  <w:vAlign w:val="center"/>
                </w:tcPr>
                <w:p>
                  <w:pPr>
                    <w:pStyle w:val="57"/>
                    <w:rPr>
                      <w:szCs w:val="21"/>
                    </w:rPr>
                  </w:pPr>
                  <w:r>
                    <w:rPr>
                      <w:rFonts w:hAnsi="宋体"/>
                      <w:kern w:val="0"/>
                      <w:szCs w:val="21"/>
                    </w:rPr>
                    <w:t>电手动闸门</w:t>
                  </w:r>
                </w:p>
              </w:tc>
              <w:tc>
                <w:tcPr>
                  <w:tcW w:w="427" w:type="pct"/>
                  <w:vAlign w:val="center"/>
                </w:tcPr>
                <w:p>
                  <w:pPr>
                    <w:pStyle w:val="57"/>
                    <w:rPr>
                      <w:szCs w:val="21"/>
                    </w:rPr>
                  </w:pPr>
                  <w:r>
                    <w:rPr>
                      <w:kern w:val="0"/>
                      <w:szCs w:val="21"/>
                    </w:rPr>
                    <w:t>1</w:t>
                  </w:r>
                </w:p>
              </w:tc>
              <w:tc>
                <w:tcPr>
                  <w:tcW w:w="513" w:type="pct"/>
                  <w:vAlign w:val="center"/>
                </w:tcPr>
                <w:p>
                  <w:pPr>
                    <w:pStyle w:val="57"/>
                    <w:rPr>
                      <w:szCs w:val="21"/>
                    </w:rPr>
                  </w:pPr>
                  <w:r>
                    <w:rPr>
                      <w:szCs w:val="21"/>
                    </w:rPr>
                    <w:t>台</w:t>
                  </w:r>
                </w:p>
              </w:tc>
              <w:tc>
                <w:tcPr>
                  <w:tcW w:w="1614" w:type="pct"/>
                  <w:gridSpan w:val="2"/>
                  <w:vAlign w:val="center"/>
                </w:tcPr>
                <w:p>
                  <w:pPr>
                    <w:pStyle w:val="57"/>
                    <w:rPr>
                      <w:szCs w:val="21"/>
                    </w:rPr>
                  </w:pPr>
                  <w:r>
                    <w:rPr>
                      <w:kern w:val="0"/>
                      <w:szCs w:val="21"/>
                    </w:rPr>
                    <w:t>Q=100t/h</w:t>
                  </w:r>
                </w:p>
              </w:tc>
              <w:tc>
                <w:tcPr>
                  <w:tcW w:w="814" w:type="pct"/>
                  <w:vAlign w:val="center"/>
                </w:tcPr>
                <w:p>
                  <w:pPr>
                    <w:pStyle w:val="57"/>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2" w:type="pct"/>
                  <w:vAlign w:val="center"/>
                </w:tcPr>
                <w:p>
                  <w:pPr>
                    <w:pStyle w:val="57"/>
                    <w:rPr>
                      <w:szCs w:val="21"/>
                    </w:rPr>
                  </w:pPr>
                  <w:r>
                    <w:rPr>
                      <w:szCs w:val="21"/>
                    </w:rPr>
                    <w:t>27</w:t>
                  </w:r>
                </w:p>
              </w:tc>
              <w:tc>
                <w:tcPr>
                  <w:tcW w:w="1320" w:type="pct"/>
                  <w:vAlign w:val="center"/>
                </w:tcPr>
                <w:p>
                  <w:pPr>
                    <w:pStyle w:val="57"/>
                    <w:rPr>
                      <w:szCs w:val="21"/>
                    </w:rPr>
                  </w:pPr>
                  <w:r>
                    <w:rPr>
                      <w:rFonts w:hAnsi="宋体"/>
                      <w:kern w:val="0"/>
                      <w:szCs w:val="21"/>
                    </w:rPr>
                    <w:t>皮带输送机</w:t>
                  </w:r>
                </w:p>
              </w:tc>
              <w:tc>
                <w:tcPr>
                  <w:tcW w:w="427" w:type="pct"/>
                  <w:vAlign w:val="center"/>
                </w:tcPr>
                <w:p>
                  <w:pPr>
                    <w:pStyle w:val="57"/>
                    <w:rPr>
                      <w:szCs w:val="21"/>
                    </w:rPr>
                  </w:pPr>
                  <w:r>
                    <w:rPr>
                      <w:kern w:val="0"/>
                      <w:szCs w:val="21"/>
                    </w:rPr>
                    <w:t>1</w:t>
                  </w:r>
                </w:p>
              </w:tc>
              <w:tc>
                <w:tcPr>
                  <w:tcW w:w="513" w:type="pct"/>
                  <w:vAlign w:val="center"/>
                </w:tcPr>
                <w:p>
                  <w:pPr>
                    <w:pStyle w:val="57"/>
                    <w:rPr>
                      <w:szCs w:val="21"/>
                    </w:rPr>
                  </w:pPr>
                  <w:r>
                    <w:rPr>
                      <w:szCs w:val="21"/>
                    </w:rPr>
                    <w:t>台</w:t>
                  </w:r>
                </w:p>
              </w:tc>
              <w:tc>
                <w:tcPr>
                  <w:tcW w:w="1614" w:type="pct"/>
                  <w:gridSpan w:val="2"/>
                  <w:vAlign w:val="center"/>
                </w:tcPr>
                <w:p>
                  <w:pPr>
                    <w:pStyle w:val="57"/>
                    <w:rPr>
                      <w:szCs w:val="21"/>
                    </w:rPr>
                  </w:pPr>
                  <w:r>
                    <w:rPr>
                      <w:kern w:val="0"/>
                      <w:szCs w:val="21"/>
                    </w:rPr>
                    <w:t>Q=70t/h,L=6.3m,a=6°</w:t>
                  </w:r>
                </w:p>
              </w:tc>
              <w:tc>
                <w:tcPr>
                  <w:tcW w:w="814" w:type="pct"/>
                  <w:vAlign w:val="center"/>
                </w:tcPr>
                <w:p>
                  <w:pPr>
                    <w:pStyle w:val="57"/>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2" w:type="pct"/>
                  <w:vAlign w:val="center"/>
                </w:tcPr>
                <w:p>
                  <w:pPr>
                    <w:pStyle w:val="57"/>
                    <w:rPr>
                      <w:szCs w:val="21"/>
                    </w:rPr>
                  </w:pPr>
                  <w:r>
                    <w:rPr>
                      <w:szCs w:val="21"/>
                    </w:rPr>
                    <w:t>28</w:t>
                  </w:r>
                </w:p>
              </w:tc>
              <w:tc>
                <w:tcPr>
                  <w:tcW w:w="1320" w:type="pct"/>
                  <w:vAlign w:val="center"/>
                </w:tcPr>
                <w:p>
                  <w:pPr>
                    <w:pStyle w:val="57"/>
                    <w:rPr>
                      <w:szCs w:val="21"/>
                    </w:rPr>
                  </w:pPr>
                  <w:r>
                    <w:rPr>
                      <w:rFonts w:hAnsi="宋体"/>
                      <w:kern w:val="0"/>
                      <w:szCs w:val="21"/>
                    </w:rPr>
                    <w:t>斗式提升机</w:t>
                  </w:r>
                </w:p>
              </w:tc>
              <w:tc>
                <w:tcPr>
                  <w:tcW w:w="427" w:type="pct"/>
                  <w:vAlign w:val="center"/>
                </w:tcPr>
                <w:p>
                  <w:pPr>
                    <w:pStyle w:val="57"/>
                    <w:rPr>
                      <w:szCs w:val="21"/>
                    </w:rPr>
                  </w:pPr>
                  <w:r>
                    <w:rPr>
                      <w:kern w:val="0"/>
                      <w:szCs w:val="21"/>
                    </w:rPr>
                    <w:t>1</w:t>
                  </w:r>
                </w:p>
              </w:tc>
              <w:tc>
                <w:tcPr>
                  <w:tcW w:w="513" w:type="pct"/>
                  <w:vAlign w:val="center"/>
                </w:tcPr>
                <w:p>
                  <w:pPr>
                    <w:pStyle w:val="57"/>
                    <w:rPr>
                      <w:szCs w:val="21"/>
                    </w:rPr>
                  </w:pPr>
                  <w:r>
                    <w:rPr>
                      <w:szCs w:val="21"/>
                    </w:rPr>
                    <w:t>台</w:t>
                  </w:r>
                </w:p>
              </w:tc>
              <w:tc>
                <w:tcPr>
                  <w:tcW w:w="1614" w:type="pct"/>
                  <w:gridSpan w:val="2"/>
                  <w:vAlign w:val="center"/>
                </w:tcPr>
                <w:p>
                  <w:pPr>
                    <w:pStyle w:val="57"/>
                    <w:rPr>
                      <w:szCs w:val="21"/>
                    </w:rPr>
                  </w:pPr>
                  <w:r>
                    <w:rPr>
                      <w:kern w:val="0"/>
                      <w:szCs w:val="21"/>
                    </w:rPr>
                    <w:t>Q=70t/h,H=25m</w:t>
                  </w:r>
                </w:p>
              </w:tc>
              <w:tc>
                <w:tcPr>
                  <w:tcW w:w="814" w:type="pct"/>
                  <w:vAlign w:val="center"/>
                </w:tcPr>
                <w:p>
                  <w:pPr>
                    <w:pStyle w:val="57"/>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2" w:type="pct"/>
                  <w:vAlign w:val="center"/>
                </w:tcPr>
                <w:p>
                  <w:pPr>
                    <w:pStyle w:val="57"/>
                    <w:rPr>
                      <w:szCs w:val="21"/>
                    </w:rPr>
                  </w:pPr>
                  <w:r>
                    <w:rPr>
                      <w:szCs w:val="21"/>
                    </w:rPr>
                    <w:t>29</w:t>
                  </w:r>
                </w:p>
              </w:tc>
              <w:tc>
                <w:tcPr>
                  <w:tcW w:w="1320" w:type="pct"/>
                  <w:vAlign w:val="center"/>
                </w:tcPr>
                <w:p>
                  <w:pPr>
                    <w:pStyle w:val="57"/>
                    <w:rPr>
                      <w:szCs w:val="21"/>
                    </w:rPr>
                  </w:pPr>
                  <w:r>
                    <w:rPr>
                      <w:rFonts w:hAnsi="宋体"/>
                      <w:kern w:val="0"/>
                      <w:szCs w:val="21"/>
                    </w:rPr>
                    <w:t>烘后仓</w:t>
                  </w:r>
                </w:p>
              </w:tc>
              <w:tc>
                <w:tcPr>
                  <w:tcW w:w="427" w:type="pct"/>
                  <w:vAlign w:val="center"/>
                </w:tcPr>
                <w:p>
                  <w:pPr>
                    <w:pStyle w:val="57"/>
                    <w:rPr>
                      <w:szCs w:val="21"/>
                    </w:rPr>
                  </w:pPr>
                  <w:r>
                    <w:rPr>
                      <w:kern w:val="0"/>
                      <w:szCs w:val="21"/>
                    </w:rPr>
                    <w:t>1</w:t>
                  </w:r>
                </w:p>
              </w:tc>
              <w:tc>
                <w:tcPr>
                  <w:tcW w:w="513" w:type="pct"/>
                  <w:vAlign w:val="center"/>
                </w:tcPr>
                <w:p>
                  <w:pPr>
                    <w:pStyle w:val="57"/>
                    <w:rPr>
                      <w:szCs w:val="21"/>
                    </w:rPr>
                  </w:pPr>
                  <w:r>
                    <w:rPr>
                      <w:szCs w:val="21"/>
                    </w:rPr>
                    <w:t>台</w:t>
                  </w:r>
                </w:p>
              </w:tc>
              <w:tc>
                <w:tcPr>
                  <w:tcW w:w="1614" w:type="pct"/>
                  <w:gridSpan w:val="2"/>
                  <w:vAlign w:val="center"/>
                </w:tcPr>
                <w:p>
                  <w:pPr>
                    <w:pStyle w:val="57"/>
                    <w:rPr>
                      <w:szCs w:val="21"/>
                    </w:rPr>
                  </w:pPr>
                  <w:r>
                    <w:rPr>
                      <w:kern w:val="0"/>
                      <w:szCs w:val="21"/>
                    </w:rPr>
                    <w:t>400t</w:t>
                  </w:r>
                </w:p>
              </w:tc>
              <w:tc>
                <w:tcPr>
                  <w:tcW w:w="814" w:type="pct"/>
                  <w:vAlign w:val="center"/>
                </w:tcPr>
                <w:p>
                  <w:pPr>
                    <w:pStyle w:val="57"/>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2" w:type="pct"/>
                  <w:vAlign w:val="center"/>
                </w:tcPr>
                <w:p>
                  <w:pPr>
                    <w:pStyle w:val="57"/>
                    <w:rPr>
                      <w:szCs w:val="21"/>
                    </w:rPr>
                  </w:pPr>
                  <w:r>
                    <w:rPr>
                      <w:szCs w:val="21"/>
                    </w:rPr>
                    <w:t>30</w:t>
                  </w:r>
                </w:p>
              </w:tc>
              <w:tc>
                <w:tcPr>
                  <w:tcW w:w="1320" w:type="pct"/>
                  <w:vAlign w:val="center"/>
                </w:tcPr>
                <w:p>
                  <w:pPr>
                    <w:pStyle w:val="57"/>
                    <w:rPr>
                      <w:szCs w:val="21"/>
                    </w:rPr>
                  </w:pPr>
                  <w:r>
                    <w:rPr>
                      <w:rFonts w:hAnsi="宋体"/>
                      <w:kern w:val="0"/>
                      <w:szCs w:val="21"/>
                    </w:rPr>
                    <w:t>上料位器</w:t>
                  </w:r>
                </w:p>
              </w:tc>
              <w:tc>
                <w:tcPr>
                  <w:tcW w:w="427" w:type="pct"/>
                  <w:vAlign w:val="center"/>
                </w:tcPr>
                <w:p>
                  <w:pPr>
                    <w:pStyle w:val="57"/>
                    <w:rPr>
                      <w:szCs w:val="21"/>
                    </w:rPr>
                  </w:pPr>
                  <w:r>
                    <w:rPr>
                      <w:kern w:val="0"/>
                      <w:szCs w:val="21"/>
                    </w:rPr>
                    <w:t>1</w:t>
                  </w:r>
                </w:p>
              </w:tc>
              <w:tc>
                <w:tcPr>
                  <w:tcW w:w="513" w:type="pct"/>
                  <w:vAlign w:val="center"/>
                </w:tcPr>
                <w:p>
                  <w:pPr>
                    <w:pStyle w:val="57"/>
                    <w:rPr>
                      <w:szCs w:val="21"/>
                    </w:rPr>
                  </w:pPr>
                  <w:r>
                    <w:rPr>
                      <w:szCs w:val="21"/>
                    </w:rPr>
                    <w:t>台</w:t>
                  </w:r>
                </w:p>
              </w:tc>
              <w:tc>
                <w:tcPr>
                  <w:tcW w:w="1614" w:type="pct"/>
                  <w:gridSpan w:val="2"/>
                  <w:vAlign w:val="center"/>
                </w:tcPr>
                <w:p>
                  <w:pPr>
                    <w:pStyle w:val="57"/>
                    <w:rPr>
                      <w:szCs w:val="21"/>
                    </w:rPr>
                  </w:pPr>
                </w:p>
              </w:tc>
              <w:tc>
                <w:tcPr>
                  <w:tcW w:w="814" w:type="pct"/>
                  <w:vAlign w:val="center"/>
                </w:tcPr>
                <w:p>
                  <w:pPr>
                    <w:pStyle w:val="57"/>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2" w:type="pct"/>
                  <w:vAlign w:val="center"/>
                </w:tcPr>
                <w:p>
                  <w:pPr>
                    <w:pStyle w:val="57"/>
                    <w:rPr>
                      <w:szCs w:val="21"/>
                    </w:rPr>
                  </w:pPr>
                  <w:r>
                    <w:rPr>
                      <w:szCs w:val="21"/>
                    </w:rPr>
                    <w:t>31</w:t>
                  </w:r>
                </w:p>
              </w:tc>
              <w:tc>
                <w:tcPr>
                  <w:tcW w:w="1320" w:type="pct"/>
                  <w:vAlign w:val="center"/>
                </w:tcPr>
                <w:p>
                  <w:pPr>
                    <w:pStyle w:val="57"/>
                    <w:rPr>
                      <w:szCs w:val="21"/>
                    </w:rPr>
                  </w:pPr>
                  <w:r>
                    <w:rPr>
                      <w:rFonts w:hAnsi="宋体"/>
                      <w:kern w:val="0"/>
                      <w:szCs w:val="21"/>
                    </w:rPr>
                    <w:t>下料位器</w:t>
                  </w:r>
                </w:p>
              </w:tc>
              <w:tc>
                <w:tcPr>
                  <w:tcW w:w="427" w:type="pct"/>
                  <w:vAlign w:val="center"/>
                </w:tcPr>
                <w:p>
                  <w:pPr>
                    <w:pStyle w:val="57"/>
                    <w:rPr>
                      <w:szCs w:val="21"/>
                    </w:rPr>
                  </w:pPr>
                  <w:r>
                    <w:rPr>
                      <w:kern w:val="0"/>
                      <w:szCs w:val="21"/>
                    </w:rPr>
                    <w:t>1</w:t>
                  </w:r>
                </w:p>
              </w:tc>
              <w:tc>
                <w:tcPr>
                  <w:tcW w:w="513" w:type="pct"/>
                  <w:vAlign w:val="center"/>
                </w:tcPr>
                <w:p>
                  <w:pPr>
                    <w:pStyle w:val="57"/>
                    <w:rPr>
                      <w:szCs w:val="21"/>
                    </w:rPr>
                  </w:pPr>
                  <w:r>
                    <w:rPr>
                      <w:szCs w:val="21"/>
                    </w:rPr>
                    <w:t>台</w:t>
                  </w:r>
                </w:p>
              </w:tc>
              <w:tc>
                <w:tcPr>
                  <w:tcW w:w="1614" w:type="pct"/>
                  <w:gridSpan w:val="2"/>
                  <w:vAlign w:val="center"/>
                </w:tcPr>
                <w:p>
                  <w:pPr>
                    <w:pStyle w:val="57"/>
                    <w:rPr>
                      <w:szCs w:val="21"/>
                    </w:rPr>
                  </w:pPr>
                </w:p>
              </w:tc>
              <w:tc>
                <w:tcPr>
                  <w:tcW w:w="814" w:type="pct"/>
                  <w:vAlign w:val="center"/>
                </w:tcPr>
                <w:p>
                  <w:pPr>
                    <w:pStyle w:val="57"/>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2" w:type="pct"/>
                  <w:vAlign w:val="center"/>
                </w:tcPr>
                <w:p>
                  <w:pPr>
                    <w:pStyle w:val="57"/>
                    <w:rPr>
                      <w:szCs w:val="21"/>
                    </w:rPr>
                  </w:pPr>
                  <w:r>
                    <w:rPr>
                      <w:szCs w:val="21"/>
                    </w:rPr>
                    <w:t>32</w:t>
                  </w:r>
                </w:p>
              </w:tc>
              <w:tc>
                <w:tcPr>
                  <w:tcW w:w="1320" w:type="pct"/>
                  <w:vAlign w:val="center"/>
                </w:tcPr>
                <w:p>
                  <w:pPr>
                    <w:pStyle w:val="57"/>
                    <w:rPr>
                      <w:szCs w:val="21"/>
                    </w:rPr>
                  </w:pPr>
                  <w:r>
                    <w:rPr>
                      <w:rFonts w:hAnsi="宋体"/>
                      <w:kern w:val="0"/>
                      <w:szCs w:val="21"/>
                    </w:rPr>
                    <w:t>电手动闸门</w:t>
                  </w:r>
                </w:p>
              </w:tc>
              <w:tc>
                <w:tcPr>
                  <w:tcW w:w="427" w:type="pct"/>
                  <w:vAlign w:val="center"/>
                </w:tcPr>
                <w:p>
                  <w:pPr>
                    <w:pStyle w:val="57"/>
                    <w:rPr>
                      <w:szCs w:val="21"/>
                    </w:rPr>
                  </w:pPr>
                  <w:r>
                    <w:rPr>
                      <w:kern w:val="0"/>
                      <w:szCs w:val="21"/>
                    </w:rPr>
                    <w:t>1</w:t>
                  </w:r>
                </w:p>
              </w:tc>
              <w:tc>
                <w:tcPr>
                  <w:tcW w:w="513" w:type="pct"/>
                  <w:vAlign w:val="center"/>
                </w:tcPr>
                <w:p>
                  <w:pPr>
                    <w:pStyle w:val="57"/>
                    <w:rPr>
                      <w:szCs w:val="21"/>
                    </w:rPr>
                  </w:pPr>
                  <w:r>
                    <w:rPr>
                      <w:szCs w:val="21"/>
                    </w:rPr>
                    <w:t>台</w:t>
                  </w:r>
                </w:p>
              </w:tc>
              <w:tc>
                <w:tcPr>
                  <w:tcW w:w="1614" w:type="pct"/>
                  <w:gridSpan w:val="2"/>
                  <w:vAlign w:val="center"/>
                </w:tcPr>
                <w:p>
                  <w:pPr>
                    <w:pStyle w:val="57"/>
                    <w:rPr>
                      <w:szCs w:val="21"/>
                    </w:rPr>
                  </w:pPr>
                  <w:r>
                    <w:rPr>
                      <w:kern w:val="0"/>
                      <w:szCs w:val="21"/>
                    </w:rPr>
                    <w:t>Q=100t/h</w:t>
                  </w:r>
                </w:p>
              </w:tc>
              <w:tc>
                <w:tcPr>
                  <w:tcW w:w="814" w:type="pct"/>
                  <w:vAlign w:val="center"/>
                </w:tcPr>
                <w:p>
                  <w:pPr>
                    <w:pStyle w:val="57"/>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2" w:type="pct"/>
                  <w:vAlign w:val="center"/>
                </w:tcPr>
                <w:p>
                  <w:pPr>
                    <w:pStyle w:val="57"/>
                    <w:rPr>
                      <w:szCs w:val="21"/>
                    </w:rPr>
                  </w:pPr>
                  <w:r>
                    <w:rPr>
                      <w:szCs w:val="21"/>
                    </w:rPr>
                    <w:t>33</w:t>
                  </w:r>
                </w:p>
              </w:tc>
              <w:tc>
                <w:tcPr>
                  <w:tcW w:w="1320" w:type="pct"/>
                  <w:vAlign w:val="center"/>
                </w:tcPr>
                <w:p>
                  <w:pPr>
                    <w:pStyle w:val="57"/>
                    <w:rPr>
                      <w:szCs w:val="21"/>
                    </w:rPr>
                  </w:pPr>
                  <w:r>
                    <w:rPr>
                      <w:rFonts w:hAnsi="宋体"/>
                      <w:kern w:val="0"/>
                      <w:szCs w:val="21"/>
                    </w:rPr>
                    <w:t>移动式装车皮带机</w:t>
                  </w:r>
                </w:p>
              </w:tc>
              <w:tc>
                <w:tcPr>
                  <w:tcW w:w="427" w:type="pct"/>
                  <w:vAlign w:val="center"/>
                </w:tcPr>
                <w:p>
                  <w:pPr>
                    <w:pStyle w:val="57"/>
                    <w:rPr>
                      <w:szCs w:val="21"/>
                    </w:rPr>
                  </w:pPr>
                  <w:r>
                    <w:rPr>
                      <w:kern w:val="0"/>
                      <w:szCs w:val="21"/>
                    </w:rPr>
                    <w:t>1</w:t>
                  </w:r>
                </w:p>
              </w:tc>
              <w:tc>
                <w:tcPr>
                  <w:tcW w:w="513" w:type="pct"/>
                  <w:vAlign w:val="center"/>
                </w:tcPr>
                <w:p>
                  <w:pPr>
                    <w:pStyle w:val="57"/>
                    <w:rPr>
                      <w:szCs w:val="21"/>
                    </w:rPr>
                  </w:pPr>
                  <w:r>
                    <w:rPr>
                      <w:szCs w:val="21"/>
                    </w:rPr>
                    <w:t>台</w:t>
                  </w:r>
                </w:p>
              </w:tc>
              <w:tc>
                <w:tcPr>
                  <w:tcW w:w="1614" w:type="pct"/>
                  <w:gridSpan w:val="2"/>
                  <w:vAlign w:val="center"/>
                </w:tcPr>
                <w:p>
                  <w:pPr>
                    <w:pStyle w:val="57"/>
                    <w:rPr>
                      <w:szCs w:val="21"/>
                    </w:rPr>
                  </w:pPr>
                  <w:r>
                    <w:rPr>
                      <w:kern w:val="0"/>
                      <w:szCs w:val="21"/>
                    </w:rPr>
                    <w:t>Q=100t/h</w:t>
                  </w:r>
                </w:p>
              </w:tc>
              <w:tc>
                <w:tcPr>
                  <w:tcW w:w="814" w:type="pct"/>
                  <w:vAlign w:val="center"/>
                </w:tcPr>
                <w:p>
                  <w:pPr>
                    <w:pStyle w:val="57"/>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2" w:type="pct"/>
                  <w:vAlign w:val="center"/>
                </w:tcPr>
                <w:p>
                  <w:pPr>
                    <w:pStyle w:val="57"/>
                    <w:rPr>
                      <w:szCs w:val="21"/>
                    </w:rPr>
                  </w:pPr>
                  <w:r>
                    <w:rPr>
                      <w:szCs w:val="21"/>
                    </w:rPr>
                    <w:t>34</w:t>
                  </w:r>
                </w:p>
              </w:tc>
              <w:tc>
                <w:tcPr>
                  <w:tcW w:w="1320" w:type="pct"/>
                  <w:vAlign w:val="center"/>
                </w:tcPr>
                <w:p>
                  <w:pPr>
                    <w:pStyle w:val="57"/>
                    <w:rPr>
                      <w:color w:val="auto"/>
                      <w:szCs w:val="21"/>
                    </w:rPr>
                  </w:pPr>
                  <w:r>
                    <w:rPr>
                      <w:rFonts w:hint="eastAsia" w:hAnsi="宋体"/>
                      <w:color w:val="auto"/>
                      <w:kern w:val="0"/>
                      <w:szCs w:val="21"/>
                    </w:rPr>
                    <w:t>布袋</w:t>
                  </w:r>
                  <w:r>
                    <w:rPr>
                      <w:rFonts w:hAnsi="宋体"/>
                      <w:color w:val="auto"/>
                      <w:kern w:val="0"/>
                      <w:szCs w:val="21"/>
                    </w:rPr>
                    <w:t>除尘器</w:t>
                  </w:r>
                </w:p>
              </w:tc>
              <w:tc>
                <w:tcPr>
                  <w:tcW w:w="427" w:type="pct"/>
                  <w:vAlign w:val="center"/>
                </w:tcPr>
                <w:p>
                  <w:pPr>
                    <w:pStyle w:val="57"/>
                    <w:rPr>
                      <w:color w:val="auto"/>
                      <w:szCs w:val="21"/>
                    </w:rPr>
                  </w:pPr>
                  <w:r>
                    <w:rPr>
                      <w:color w:val="auto"/>
                      <w:kern w:val="0"/>
                      <w:szCs w:val="21"/>
                    </w:rPr>
                    <w:t>1</w:t>
                  </w:r>
                </w:p>
              </w:tc>
              <w:tc>
                <w:tcPr>
                  <w:tcW w:w="513" w:type="pct"/>
                  <w:vAlign w:val="center"/>
                </w:tcPr>
                <w:p>
                  <w:pPr>
                    <w:pStyle w:val="57"/>
                    <w:rPr>
                      <w:color w:val="auto"/>
                      <w:szCs w:val="21"/>
                    </w:rPr>
                  </w:pPr>
                  <w:r>
                    <w:rPr>
                      <w:color w:val="auto"/>
                      <w:szCs w:val="21"/>
                    </w:rPr>
                    <w:t>台</w:t>
                  </w:r>
                </w:p>
              </w:tc>
              <w:tc>
                <w:tcPr>
                  <w:tcW w:w="1614" w:type="pct"/>
                  <w:gridSpan w:val="2"/>
                  <w:vAlign w:val="center"/>
                </w:tcPr>
                <w:p>
                  <w:pPr>
                    <w:pStyle w:val="57"/>
                    <w:rPr>
                      <w:color w:val="auto"/>
                      <w:szCs w:val="21"/>
                    </w:rPr>
                  </w:pPr>
                  <w:r>
                    <w:rPr>
                      <w:color w:val="auto"/>
                      <w:kern w:val="0"/>
                      <w:szCs w:val="21"/>
                    </w:rPr>
                    <w:t>MC-300</w:t>
                  </w:r>
                </w:p>
              </w:tc>
              <w:tc>
                <w:tcPr>
                  <w:tcW w:w="814" w:type="pct"/>
                  <w:vAlign w:val="center"/>
                </w:tcPr>
                <w:p>
                  <w:pPr>
                    <w:pStyle w:val="57"/>
                    <w:jc w:val="both"/>
                    <w:rPr>
                      <w:color w:val="auto"/>
                      <w:szCs w:val="21"/>
                    </w:rPr>
                  </w:pPr>
                  <w:r>
                    <w:rPr>
                      <w:rFonts w:hint="eastAsia"/>
                      <w:color w:val="auto"/>
                      <w:szCs w:val="21"/>
                    </w:rPr>
                    <w:t>生物质热风炉废气配套使用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2" w:type="pct"/>
                  <w:vAlign w:val="center"/>
                </w:tcPr>
                <w:p>
                  <w:pPr>
                    <w:pStyle w:val="57"/>
                    <w:rPr>
                      <w:szCs w:val="21"/>
                    </w:rPr>
                  </w:pPr>
                  <w:r>
                    <w:rPr>
                      <w:szCs w:val="21"/>
                    </w:rPr>
                    <w:t>35</w:t>
                  </w:r>
                </w:p>
              </w:tc>
              <w:tc>
                <w:tcPr>
                  <w:tcW w:w="1320" w:type="pct"/>
                  <w:vAlign w:val="center"/>
                </w:tcPr>
                <w:p>
                  <w:pPr>
                    <w:pStyle w:val="57"/>
                    <w:rPr>
                      <w:szCs w:val="21"/>
                    </w:rPr>
                  </w:pPr>
                  <w:r>
                    <w:rPr>
                      <w:rFonts w:hAnsi="宋体"/>
                      <w:kern w:val="0"/>
                      <w:szCs w:val="21"/>
                    </w:rPr>
                    <w:t>空气压缩机</w:t>
                  </w:r>
                </w:p>
              </w:tc>
              <w:tc>
                <w:tcPr>
                  <w:tcW w:w="427" w:type="pct"/>
                  <w:vAlign w:val="center"/>
                </w:tcPr>
                <w:p>
                  <w:pPr>
                    <w:pStyle w:val="57"/>
                    <w:rPr>
                      <w:szCs w:val="21"/>
                    </w:rPr>
                  </w:pPr>
                  <w:r>
                    <w:rPr>
                      <w:kern w:val="0"/>
                      <w:szCs w:val="21"/>
                    </w:rPr>
                    <w:t>1</w:t>
                  </w:r>
                </w:p>
              </w:tc>
              <w:tc>
                <w:tcPr>
                  <w:tcW w:w="513" w:type="pct"/>
                  <w:vAlign w:val="center"/>
                </w:tcPr>
                <w:p>
                  <w:pPr>
                    <w:pStyle w:val="57"/>
                    <w:rPr>
                      <w:szCs w:val="21"/>
                    </w:rPr>
                  </w:pPr>
                  <w:r>
                    <w:rPr>
                      <w:szCs w:val="21"/>
                    </w:rPr>
                    <w:t>台</w:t>
                  </w:r>
                </w:p>
              </w:tc>
              <w:tc>
                <w:tcPr>
                  <w:tcW w:w="1614" w:type="pct"/>
                  <w:gridSpan w:val="2"/>
                  <w:vAlign w:val="center"/>
                </w:tcPr>
                <w:p>
                  <w:pPr>
                    <w:pStyle w:val="57"/>
                    <w:rPr>
                      <w:szCs w:val="21"/>
                    </w:rPr>
                  </w:pPr>
                  <w:r>
                    <w:rPr>
                      <w:kern w:val="0"/>
                      <w:szCs w:val="21"/>
                    </w:rPr>
                    <w:t>L-15A</w:t>
                  </w:r>
                </w:p>
              </w:tc>
              <w:tc>
                <w:tcPr>
                  <w:tcW w:w="814" w:type="pct"/>
                  <w:vAlign w:val="center"/>
                </w:tcPr>
                <w:p>
                  <w:pPr>
                    <w:pStyle w:val="57"/>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2" w:type="pct"/>
                  <w:vAlign w:val="center"/>
                </w:tcPr>
                <w:p>
                  <w:pPr>
                    <w:pStyle w:val="57"/>
                    <w:rPr>
                      <w:szCs w:val="21"/>
                    </w:rPr>
                  </w:pPr>
                  <w:r>
                    <w:rPr>
                      <w:szCs w:val="21"/>
                    </w:rPr>
                    <w:t>36</w:t>
                  </w:r>
                </w:p>
              </w:tc>
              <w:tc>
                <w:tcPr>
                  <w:tcW w:w="1320" w:type="pct"/>
                  <w:vAlign w:val="center"/>
                </w:tcPr>
                <w:p>
                  <w:pPr>
                    <w:pStyle w:val="57"/>
                    <w:rPr>
                      <w:szCs w:val="21"/>
                    </w:rPr>
                  </w:pPr>
                  <w:r>
                    <w:rPr>
                      <w:rFonts w:hAnsi="宋体"/>
                      <w:kern w:val="0"/>
                      <w:szCs w:val="21"/>
                    </w:rPr>
                    <w:t>冷冻干燥机</w:t>
                  </w:r>
                </w:p>
              </w:tc>
              <w:tc>
                <w:tcPr>
                  <w:tcW w:w="427" w:type="pct"/>
                  <w:vAlign w:val="center"/>
                </w:tcPr>
                <w:p>
                  <w:pPr>
                    <w:pStyle w:val="57"/>
                    <w:rPr>
                      <w:szCs w:val="21"/>
                    </w:rPr>
                  </w:pPr>
                  <w:r>
                    <w:rPr>
                      <w:kern w:val="0"/>
                      <w:szCs w:val="21"/>
                    </w:rPr>
                    <w:t>1</w:t>
                  </w:r>
                </w:p>
              </w:tc>
              <w:tc>
                <w:tcPr>
                  <w:tcW w:w="513" w:type="pct"/>
                  <w:vAlign w:val="center"/>
                </w:tcPr>
                <w:p>
                  <w:pPr>
                    <w:pStyle w:val="57"/>
                    <w:rPr>
                      <w:szCs w:val="21"/>
                    </w:rPr>
                  </w:pPr>
                  <w:r>
                    <w:rPr>
                      <w:szCs w:val="21"/>
                    </w:rPr>
                    <w:t>台</w:t>
                  </w:r>
                </w:p>
              </w:tc>
              <w:tc>
                <w:tcPr>
                  <w:tcW w:w="1614" w:type="pct"/>
                  <w:gridSpan w:val="2"/>
                  <w:vAlign w:val="center"/>
                </w:tcPr>
                <w:p>
                  <w:pPr>
                    <w:pStyle w:val="57"/>
                    <w:rPr>
                      <w:szCs w:val="21"/>
                    </w:rPr>
                  </w:pPr>
                  <w:r>
                    <w:rPr>
                      <w:kern w:val="0"/>
                      <w:szCs w:val="21"/>
                    </w:rPr>
                    <w:t>2m</w:t>
                  </w:r>
                  <w:r>
                    <w:rPr>
                      <w:kern w:val="0"/>
                      <w:szCs w:val="21"/>
                      <w:vertAlign w:val="superscript"/>
                    </w:rPr>
                    <w:t>3</w:t>
                  </w:r>
                </w:p>
              </w:tc>
              <w:tc>
                <w:tcPr>
                  <w:tcW w:w="814" w:type="pct"/>
                  <w:vAlign w:val="center"/>
                </w:tcPr>
                <w:p>
                  <w:pPr>
                    <w:pStyle w:val="57"/>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2" w:type="pct"/>
                  <w:vAlign w:val="center"/>
                </w:tcPr>
                <w:p>
                  <w:pPr>
                    <w:pStyle w:val="57"/>
                    <w:rPr>
                      <w:szCs w:val="21"/>
                    </w:rPr>
                  </w:pPr>
                  <w:r>
                    <w:rPr>
                      <w:szCs w:val="21"/>
                    </w:rPr>
                    <w:t>37</w:t>
                  </w:r>
                </w:p>
              </w:tc>
              <w:tc>
                <w:tcPr>
                  <w:tcW w:w="1320" w:type="pct"/>
                  <w:vAlign w:val="center"/>
                </w:tcPr>
                <w:p>
                  <w:pPr>
                    <w:pStyle w:val="57"/>
                    <w:rPr>
                      <w:szCs w:val="21"/>
                    </w:rPr>
                  </w:pPr>
                  <w:r>
                    <w:rPr>
                      <w:rFonts w:hAnsi="宋体"/>
                      <w:kern w:val="0"/>
                      <w:szCs w:val="21"/>
                    </w:rPr>
                    <w:t>压缩空气储罐</w:t>
                  </w:r>
                </w:p>
              </w:tc>
              <w:tc>
                <w:tcPr>
                  <w:tcW w:w="427" w:type="pct"/>
                  <w:vAlign w:val="center"/>
                </w:tcPr>
                <w:p>
                  <w:pPr>
                    <w:pStyle w:val="57"/>
                    <w:rPr>
                      <w:szCs w:val="21"/>
                    </w:rPr>
                  </w:pPr>
                  <w:r>
                    <w:rPr>
                      <w:kern w:val="0"/>
                      <w:szCs w:val="21"/>
                    </w:rPr>
                    <w:t>1</w:t>
                  </w:r>
                </w:p>
              </w:tc>
              <w:tc>
                <w:tcPr>
                  <w:tcW w:w="513" w:type="pct"/>
                  <w:vAlign w:val="center"/>
                </w:tcPr>
                <w:p>
                  <w:pPr>
                    <w:pStyle w:val="57"/>
                    <w:rPr>
                      <w:szCs w:val="21"/>
                    </w:rPr>
                  </w:pPr>
                  <w:r>
                    <w:rPr>
                      <w:szCs w:val="21"/>
                    </w:rPr>
                    <w:t>台</w:t>
                  </w:r>
                </w:p>
              </w:tc>
              <w:tc>
                <w:tcPr>
                  <w:tcW w:w="1614" w:type="pct"/>
                  <w:gridSpan w:val="2"/>
                  <w:vAlign w:val="center"/>
                </w:tcPr>
                <w:p>
                  <w:pPr>
                    <w:pStyle w:val="57"/>
                    <w:rPr>
                      <w:szCs w:val="21"/>
                    </w:rPr>
                  </w:pPr>
                  <w:r>
                    <w:rPr>
                      <w:kern w:val="0"/>
                      <w:szCs w:val="21"/>
                    </w:rPr>
                    <w:t>0.6m</w:t>
                  </w:r>
                  <w:r>
                    <w:rPr>
                      <w:kern w:val="0"/>
                      <w:szCs w:val="21"/>
                      <w:vertAlign w:val="superscript"/>
                    </w:rPr>
                    <w:t>3</w:t>
                  </w:r>
                </w:p>
              </w:tc>
              <w:tc>
                <w:tcPr>
                  <w:tcW w:w="814" w:type="pct"/>
                  <w:vAlign w:val="center"/>
                </w:tcPr>
                <w:p>
                  <w:pPr>
                    <w:pStyle w:val="57"/>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12" w:type="pct"/>
                  <w:vAlign w:val="center"/>
                </w:tcPr>
                <w:p>
                  <w:pPr>
                    <w:pStyle w:val="57"/>
                    <w:rPr>
                      <w:szCs w:val="21"/>
                    </w:rPr>
                  </w:pPr>
                  <w:r>
                    <w:rPr>
                      <w:szCs w:val="21"/>
                    </w:rPr>
                    <w:t>38</w:t>
                  </w:r>
                </w:p>
              </w:tc>
              <w:tc>
                <w:tcPr>
                  <w:tcW w:w="1320" w:type="pct"/>
                  <w:vAlign w:val="center"/>
                </w:tcPr>
                <w:p>
                  <w:pPr>
                    <w:pStyle w:val="57"/>
                    <w:rPr>
                      <w:szCs w:val="21"/>
                    </w:rPr>
                  </w:pPr>
                  <w:r>
                    <w:rPr>
                      <w:rFonts w:hAnsi="宋体"/>
                      <w:kern w:val="0"/>
                      <w:szCs w:val="21"/>
                    </w:rPr>
                    <w:t>双层自恒泄灰阀</w:t>
                  </w:r>
                </w:p>
              </w:tc>
              <w:tc>
                <w:tcPr>
                  <w:tcW w:w="427" w:type="pct"/>
                  <w:vAlign w:val="center"/>
                </w:tcPr>
                <w:p>
                  <w:pPr>
                    <w:pStyle w:val="57"/>
                    <w:rPr>
                      <w:szCs w:val="21"/>
                    </w:rPr>
                  </w:pPr>
                  <w:r>
                    <w:rPr>
                      <w:kern w:val="0"/>
                      <w:szCs w:val="21"/>
                    </w:rPr>
                    <w:t>2</w:t>
                  </w:r>
                </w:p>
              </w:tc>
              <w:tc>
                <w:tcPr>
                  <w:tcW w:w="513" w:type="pct"/>
                  <w:vAlign w:val="center"/>
                </w:tcPr>
                <w:p>
                  <w:pPr>
                    <w:pStyle w:val="57"/>
                    <w:rPr>
                      <w:szCs w:val="21"/>
                    </w:rPr>
                  </w:pPr>
                  <w:r>
                    <w:rPr>
                      <w:szCs w:val="21"/>
                    </w:rPr>
                    <w:t>台</w:t>
                  </w:r>
                </w:p>
              </w:tc>
              <w:tc>
                <w:tcPr>
                  <w:tcW w:w="1614" w:type="pct"/>
                  <w:gridSpan w:val="2"/>
                  <w:vAlign w:val="center"/>
                </w:tcPr>
                <w:p>
                  <w:pPr>
                    <w:pStyle w:val="57"/>
                    <w:rPr>
                      <w:szCs w:val="21"/>
                    </w:rPr>
                  </w:pPr>
                  <w:r>
                    <w:rPr>
                      <w:kern w:val="0"/>
                      <w:szCs w:val="21"/>
                    </w:rPr>
                    <w:t>400</w:t>
                  </w:r>
                  <w:r>
                    <w:rPr>
                      <w:rFonts w:ascii="宋体" w:hAnsi="宋体"/>
                      <w:kern w:val="0"/>
                      <w:szCs w:val="21"/>
                    </w:rPr>
                    <w:t>×</w:t>
                  </w:r>
                  <w:r>
                    <w:rPr>
                      <w:kern w:val="0"/>
                      <w:szCs w:val="21"/>
                    </w:rPr>
                    <w:t>400</w:t>
                  </w:r>
                </w:p>
              </w:tc>
              <w:tc>
                <w:tcPr>
                  <w:tcW w:w="814" w:type="pct"/>
                  <w:vAlign w:val="center"/>
                </w:tcPr>
                <w:p>
                  <w:pPr>
                    <w:pStyle w:val="57"/>
                    <w:rPr>
                      <w:szCs w:val="21"/>
                    </w:rPr>
                  </w:pPr>
                </w:p>
              </w:tc>
            </w:tr>
          </w:tbl>
          <w:p>
            <w:pPr>
              <w:adjustRightInd w:val="0"/>
              <w:snapToGrid w:val="0"/>
              <w:spacing w:line="360" w:lineRule="auto"/>
              <w:ind w:firstLine="420"/>
              <w:jc w:val="left"/>
              <w:rPr>
                <w:rFonts w:eastAsiaTheme="minorEastAsia"/>
                <w:bCs/>
                <w:szCs w:val="21"/>
              </w:rPr>
            </w:pPr>
          </w:p>
          <w:p>
            <w:pPr>
              <w:pStyle w:val="31"/>
              <w:ind w:firstLine="480"/>
              <w:rPr>
                <w:rFonts w:eastAsiaTheme="minorEastAsia"/>
                <w:color w:val="auto"/>
              </w:rPr>
            </w:pPr>
            <w:r>
              <w:rPr>
                <w:rFonts w:hint="eastAsia" w:eastAsiaTheme="minorEastAsia"/>
                <w:color w:val="auto"/>
              </w:rPr>
              <w:t>9</w:t>
            </w:r>
            <w:r>
              <w:rPr>
                <w:rFonts w:eastAsiaTheme="minorEastAsia"/>
                <w:color w:val="auto"/>
              </w:rPr>
              <w:t>、平面布置</w:t>
            </w:r>
          </w:p>
          <w:p>
            <w:pPr>
              <w:pStyle w:val="31"/>
              <w:ind w:firstLine="480"/>
              <w:rPr>
                <w:rStyle w:val="47"/>
                <w:rFonts w:hint="default"/>
                <w:color w:val="auto"/>
              </w:rPr>
            </w:pPr>
            <w:r>
              <w:rPr>
                <w:rStyle w:val="47"/>
                <w:rFonts w:hint="default"/>
                <w:color w:val="auto"/>
              </w:rPr>
              <w:t>项目分为粮食储备区、办公生活区、粮食烘干区共三个功能分区。各分区利用道路和绿化分隔，既相互独立，又有机联系，形成有机、高效的现代化粮食储备库。粮食储备区布置在主干道右侧，仓房四周设环形通道，方便移动式机械的进出仓作业。办公生活区布置在库区东北侧，布置有业务用房、宿舍楼，结合周边的绿化场地形成环境优美的办公生活环境。粮食烘干区布置在库区东南位置。烘干中心布置在库区的中心位置，来粮经过烘干后到达粮食储备区的距离均较近，减短了运输距离，远离办公区，使办公区形成了一个独立的空间，与烘干区、仓储区形成一个有机联合体。</w:t>
            </w:r>
          </w:p>
          <w:p>
            <w:pPr>
              <w:pStyle w:val="31"/>
              <w:ind w:firstLine="480"/>
              <w:rPr>
                <w:rFonts w:eastAsiaTheme="minorEastAsia"/>
                <w:color w:val="auto"/>
              </w:rPr>
            </w:pPr>
            <w:r>
              <w:rPr>
                <w:rStyle w:val="47"/>
                <w:rFonts w:hint="default"/>
                <w:color w:val="auto"/>
              </w:rPr>
              <w:t>综上所述，本项目在平面布置上粮食储备区、办公生活区、粮食烘干区功能分区布置相对独立，通过合理组织功能分区，合理布置工艺车间，合理组织交通运输使物料运输方便快捷；保证生产工艺流程畅通，工艺布置较为合理。</w:t>
            </w:r>
            <w:r>
              <w:rPr>
                <w:rFonts w:eastAsiaTheme="minorEastAsia"/>
                <w:bCs/>
                <w:color w:val="auto"/>
              </w:rPr>
              <w:t>项目厂区平面布置图及效果图见附图</w:t>
            </w:r>
            <w:r>
              <w:rPr>
                <w:rFonts w:eastAsiaTheme="minorEastAsia"/>
                <w:color w:val="auto"/>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823" w:type="dxa"/>
            <w:vAlign w:val="center"/>
          </w:tcPr>
          <w:p>
            <w:pPr>
              <w:pStyle w:val="14"/>
              <w:adjustRightInd w:val="0"/>
              <w:snapToGrid w:val="0"/>
              <w:spacing w:before="0" w:beforeAutospacing="0" w:after="0" w:afterAutospacing="0"/>
              <w:jc w:val="center"/>
              <w:rPr>
                <w:rFonts w:ascii="Times New Roman" w:hAnsi="Times New Roman" w:eastAsiaTheme="minorEastAsia"/>
                <w:sz w:val="21"/>
                <w:szCs w:val="21"/>
              </w:rPr>
            </w:pPr>
            <w:r>
              <w:rPr>
                <w:rFonts w:ascii="Times New Roman" w:hAnsi="Times New Roman" w:eastAsiaTheme="minorEastAsia"/>
                <w:sz w:val="21"/>
                <w:szCs w:val="21"/>
              </w:rPr>
              <w:t>工艺流程和产排污环节</w:t>
            </w:r>
          </w:p>
        </w:tc>
        <w:tc>
          <w:tcPr>
            <w:tcW w:w="8161" w:type="dxa"/>
          </w:tcPr>
          <w:p>
            <w:pPr>
              <w:pStyle w:val="31"/>
              <w:ind w:firstLine="480"/>
              <w:rPr>
                <w:rFonts w:eastAsiaTheme="minorEastAsia"/>
                <w:color w:val="auto"/>
              </w:rPr>
            </w:pPr>
            <w:r>
              <w:rPr>
                <w:rFonts w:eastAsiaTheme="minorEastAsia"/>
                <w:color w:val="auto"/>
              </w:rPr>
              <w:t>1、施工期工艺流程及产污节点</w:t>
            </w:r>
          </w:p>
          <w:p>
            <w:pPr>
              <w:adjustRightInd w:val="0"/>
              <w:snapToGrid w:val="0"/>
              <w:spacing w:line="360" w:lineRule="auto"/>
              <w:ind w:firstLine="420"/>
              <w:jc w:val="center"/>
              <w:rPr>
                <w:rFonts w:eastAsiaTheme="minorEastAsia"/>
                <w:bCs/>
                <w:szCs w:val="21"/>
              </w:rPr>
            </w:pPr>
            <w:r>
              <w:rPr>
                <w:rFonts w:eastAsiaTheme="minorEastAsia"/>
                <w:bCs/>
                <w:szCs w:val="21"/>
              </w:rPr>
              <w:drawing>
                <wp:inline distT="0" distB="0" distL="0" distR="0">
                  <wp:extent cx="1600200" cy="1571625"/>
                  <wp:effectExtent l="19050" t="0" r="0" b="0"/>
                  <wp:docPr id="8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
                          <pic:cNvPicPr>
                            <a:picLocks noChangeAspect="1" noChangeArrowheads="1"/>
                          </pic:cNvPicPr>
                        </pic:nvPicPr>
                        <pic:blipFill>
                          <a:blip r:embed="rId11" cstate="print"/>
                          <a:srcRect/>
                          <a:stretch>
                            <a:fillRect/>
                          </a:stretch>
                        </pic:blipFill>
                        <pic:spPr>
                          <a:xfrm>
                            <a:off x="0" y="0"/>
                            <a:ext cx="1600200" cy="1571625"/>
                          </a:xfrm>
                          <a:prstGeom prst="rect">
                            <a:avLst/>
                          </a:prstGeom>
                          <a:noFill/>
                          <a:ln w="9525">
                            <a:noFill/>
                            <a:miter lim="800000"/>
                            <a:headEnd/>
                            <a:tailEnd/>
                          </a:ln>
                        </pic:spPr>
                      </pic:pic>
                    </a:graphicData>
                  </a:graphic>
                </wp:inline>
              </w:drawing>
            </w:r>
          </w:p>
          <w:p>
            <w:pPr>
              <w:pStyle w:val="39"/>
              <w:rPr>
                <w:rFonts w:eastAsiaTheme="minorEastAsia"/>
              </w:rPr>
            </w:pPr>
            <w:r>
              <w:rPr>
                <w:rFonts w:eastAsiaTheme="minorEastAsia"/>
              </w:rPr>
              <w:t>图</w:t>
            </w:r>
            <w:r>
              <w:rPr>
                <w:rFonts w:hint="eastAsia" w:eastAsiaTheme="minorEastAsia"/>
              </w:rPr>
              <w:t>1</w:t>
            </w:r>
            <w:r>
              <w:rPr>
                <w:rFonts w:eastAsiaTheme="minorEastAsia"/>
              </w:rPr>
              <w:t xml:space="preserve">    施工期工艺流程及产污节点图</w:t>
            </w:r>
          </w:p>
          <w:p>
            <w:pPr>
              <w:adjustRightInd w:val="0"/>
              <w:snapToGrid w:val="0"/>
              <w:spacing w:line="360" w:lineRule="auto"/>
              <w:ind w:firstLine="420"/>
              <w:rPr>
                <w:rFonts w:eastAsiaTheme="minorEastAsia"/>
                <w:bCs/>
                <w:szCs w:val="21"/>
              </w:rPr>
            </w:pPr>
          </w:p>
          <w:p>
            <w:pPr>
              <w:pStyle w:val="31"/>
              <w:ind w:firstLine="480"/>
              <w:rPr>
                <w:rFonts w:eastAsiaTheme="minorEastAsia"/>
                <w:color w:val="auto"/>
              </w:rPr>
            </w:pPr>
            <w:r>
              <w:rPr>
                <w:rFonts w:eastAsiaTheme="minorEastAsia"/>
                <w:color w:val="auto"/>
              </w:rPr>
              <w:t>2、运营期工艺流程及产污节点。</w:t>
            </w:r>
          </w:p>
          <w:p>
            <w:pPr>
              <w:adjustRightInd w:val="0"/>
              <w:snapToGrid w:val="0"/>
              <w:spacing w:line="360" w:lineRule="auto"/>
              <w:jc w:val="center"/>
              <w:rPr>
                <w:rFonts w:eastAsiaTheme="minorEastAsia"/>
                <w:bCs/>
                <w:szCs w:val="21"/>
              </w:rPr>
            </w:pPr>
            <w:r>
              <w:rPr>
                <w:rFonts w:eastAsiaTheme="minorEastAsia"/>
                <w:bCs/>
                <w:szCs w:val="21"/>
              </w:rPr>
              <w:drawing>
                <wp:inline distT="0" distB="0" distL="0" distR="0">
                  <wp:extent cx="3257550" cy="249682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2" cstate="print"/>
                          <a:srcRect/>
                          <a:stretch>
                            <a:fillRect/>
                          </a:stretch>
                        </pic:blipFill>
                        <pic:spPr>
                          <a:xfrm>
                            <a:off x="0" y="0"/>
                            <a:ext cx="3260287" cy="2499552"/>
                          </a:xfrm>
                          <a:prstGeom prst="rect">
                            <a:avLst/>
                          </a:prstGeom>
                          <a:noFill/>
                          <a:ln w="9525">
                            <a:noFill/>
                            <a:miter lim="800000"/>
                            <a:headEnd/>
                            <a:tailEnd/>
                          </a:ln>
                        </pic:spPr>
                      </pic:pic>
                    </a:graphicData>
                  </a:graphic>
                </wp:inline>
              </w:drawing>
            </w:r>
          </w:p>
          <w:p>
            <w:pPr>
              <w:pStyle w:val="39"/>
              <w:rPr>
                <w:rFonts w:eastAsiaTheme="minorEastAsia"/>
                <w:bCs/>
                <w:szCs w:val="21"/>
              </w:rPr>
            </w:pPr>
            <w:r>
              <w:rPr>
                <w:rFonts w:eastAsiaTheme="minorEastAsia"/>
              </w:rPr>
              <w:t>图</w:t>
            </w:r>
            <w:r>
              <w:rPr>
                <w:rFonts w:hint="eastAsia" w:eastAsiaTheme="minorEastAsia"/>
              </w:rPr>
              <w:t>2</w:t>
            </w:r>
            <w:r>
              <w:rPr>
                <w:rFonts w:eastAsiaTheme="minorEastAsia"/>
              </w:rPr>
              <w:t xml:space="preserve">    工艺流程图</w:t>
            </w:r>
          </w:p>
          <w:p>
            <w:pPr>
              <w:pStyle w:val="31"/>
              <w:ind w:firstLine="480"/>
              <w:rPr>
                <w:rFonts w:eastAsiaTheme="minorEastAsia"/>
                <w:color w:val="auto"/>
              </w:rPr>
            </w:pPr>
            <w:r>
              <w:rPr>
                <w:rFonts w:eastAsiaTheme="minorEastAsia"/>
                <w:color w:val="auto"/>
              </w:rPr>
              <w:t>工艺流程图说明：</w:t>
            </w:r>
          </w:p>
          <w:p>
            <w:pPr>
              <w:pStyle w:val="31"/>
              <w:ind w:firstLine="480"/>
              <w:rPr>
                <w:rFonts w:eastAsiaTheme="minorEastAsia"/>
                <w:color w:val="auto"/>
              </w:rPr>
            </w:pPr>
            <w:r>
              <w:rPr>
                <w:rFonts w:eastAsiaTheme="minorEastAsia"/>
                <w:color w:val="auto"/>
              </w:rPr>
              <w:fldChar w:fldCharType="begin"/>
            </w:r>
            <w:r>
              <w:rPr>
                <w:rFonts w:eastAsiaTheme="minorEastAsia"/>
                <w:color w:val="auto"/>
              </w:rPr>
              <w:instrText xml:space="preserve"> = 1 \* GB3 </w:instrText>
            </w:r>
            <w:r>
              <w:rPr>
                <w:rFonts w:eastAsiaTheme="minorEastAsia"/>
                <w:color w:val="auto"/>
              </w:rPr>
              <w:fldChar w:fldCharType="separate"/>
            </w:r>
            <w:r>
              <w:rPr>
                <w:rFonts w:asciiTheme="minorEastAsia" w:eastAsiaTheme="minorEastAsia"/>
                <w:color w:val="auto"/>
              </w:rPr>
              <w:t>①</w:t>
            </w:r>
            <w:r>
              <w:rPr>
                <w:rFonts w:eastAsiaTheme="minorEastAsia"/>
                <w:color w:val="auto"/>
              </w:rPr>
              <w:fldChar w:fldCharType="end"/>
            </w:r>
            <w:r>
              <w:rPr>
                <w:rFonts w:hint="eastAsia" w:eastAsiaTheme="minorEastAsia"/>
                <w:color w:val="auto"/>
              </w:rPr>
              <w:t>卸粮</w:t>
            </w:r>
          </w:p>
          <w:p>
            <w:pPr>
              <w:pStyle w:val="31"/>
              <w:ind w:firstLine="480"/>
              <w:rPr>
                <w:rFonts w:eastAsiaTheme="minorEastAsia"/>
                <w:color w:val="auto"/>
              </w:rPr>
            </w:pPr>
            <w:r>
              <w:rPr>
                <w:rFonts w:hint="eastAsia" w:eastAsiaTheme="minorEastAsia"/>
                <w:color w:val="auto"/>
              </w:rPr>
              <w:t>来粮采用自卸卡车拉运，运至下料坑处，下料坑上方设置集气罩，粉尘经布袋除尘器处理后排放。此工序产生卸料粉尘。</w:t>
            </w:r>
          </w:p>
          <w:p>
            <w:pPr>
              <w:pStyle w:val="31"/>
              <w:ind w:firstLine="480"/>
              <w:rPr>
                <w:rFonts w:eastAsiaTheme="minorEastAsia"/>
                <w:color w:val="auto"/>
              </w:rPr>
            </w:pPr>
            <w:r>
              <w:rPr>
                <w:rFonts w:eastAsiaTheme="minorEastAsia"/>
                <w:color w:val="auto"/>
              </w:rPr>
              <w:fldChar w:fldCharType="begin"/>
            </w:r>
            <w:r>
              <w:rPr>
                <w:rFonts w:eastAsiaTheme="minorEastAsia"/>
                <w:color w:val="auto"/>
              </w:rPr>
              <w:instrText xml:space="preserve"> = 2 \* GB3 </w:instrText>
            </w:r>
            <w:r>
              <w:rPr>
                <w:rFonts w:eastAsiaTheme="minorEastAsia"/>
                <w:color w:val="auto"/>
              </w:rPr>
              <w:fldChar w:fldCharType="separate"/>
            </w:r>
            <w:r>
              <w:rPr>
                <w:rFonts w:hint="eastAsia" w:ascii="宋体" w:hAnsi="宋体" w:cs="宋体"/>
                <w:color w:val="auto"/>
              </w:rPr>
              <w:t>②</w:t>
            </w:r>
            <w:r>
              <w:rPr>
                <w:rFonts w:eastAsiaTheme="minorEastAsia"/>
                <w:color w:val="auto"/>
              </w:rPr>
              <w:fldChar w:fldCharType="end"/>
            </w:r>
            <w:r>
              <w:rPr>
                <w:rFonts w:hint="eastAsia" w:eastAsiaTheme="minorEastAsia"/>
                <w:color w:val="auto"/>
              </w:rPr>
              <w:t>初清：</w:t>
            </w:r>
          </w:p>
          <w:p>
            <w:pPr>
              <w:pStyle w:val="25"/>
              <w:ind w:firstLine="480"/>
              <w:rPr>
                <w:rFonts w:eastAsiaTheme="minorEastAsia"/>
              </w:rPr>
            </w:pPr>
            <w:r>
              <w:rPr>
                <w:rStyle w:val="47"/>
                <w:rFonts w:hint="default"/>
                <w:color w:val="auto"/>
              </w:rPr>
              <w:t>下料坑的粮食经提升机提升至初清筛进行筛分，清理后的粮食杂质收集后暂存在一般固废间，然后干净粮食由上塔提升机送入烘干塔，准备烘干。该工序产生的主要污染物为粮食初清粉尘、设备噪声与粮食杂质。</w:t>
            </w:r>
          </w:p>
          <w:p>
            <w:pPr>
              <w:pStyle w:val="31"/>
              <w:ind w:firstLine="480"/>
              <w:rPr>
                <w:rFonts w:eastAsiaTheme="minorEastAsia"/>
                <w:color w:val="auto"/>
                <w:szCs w:val="24"/>
              </w:rPr>
            </w:pPr>
            <w:r>
              <w:rPr>
                <w:rFonts w:hint="eastAsia" w:eastAsiaTheme="minorEastAsia"/>
                <w:color w:val="auto"/>
              </w:rPr>
              <w:t>烘干：</w:t>
            </w:r>
          </w:p>
          <w:p>
            <w:pPr>
              <w:pStyle w:val="25"/>
              <w:ind w:firstLine="480"/>
              <w:rPr>
                <w:rStyle w:val="47"/>
                <w:rFonts w:hint="default" w:ascii="Times New Roman"/>
                <w:color w:val="auto"/>
              </w:rPr>
            </w:pPr>
            <w:r>
              <w:rPr>
                <w:rStyle w:val="47"/>
                <w:rFonts w:hint="default" w:ascii="Times New Roman"/>
                <w:color w:val="auto"/>
              </w:rPr>
              <w:t>初清后的粮食经烘干塔烘干（含水率小于</w:t>
            </w:r>
            <w:r>
              <w:rPr>
                <w:rStyle w:val="37"/>
                <w:rFonts w:hint="default" w:ascii="Times New Roman"/>
                <w:color w:val="auto"/>
              </w:rPr>
              <w:t>14%</w:t>
            </w:r>
            <w:r>
              <w:rPr>
                <w:rStyle w:val="47"/>
                <w:rFonts w:hint="default" w:ascii="Times New Roman"/>
                <w:color w:val="auto"/>
              </w:rPr>
              <w:t>），烘干后的粮食暂堆放在烘干堆场，经自然冷却后由输送机将粮食送至仓库内。冷却过程主要为水蒸气。</w:t>
            </w:r>
          </w:p>
          <w:p>
            <w:pPr>
              <w:pStyle w:val="25"/>
              <w:ind w:firstLine="480"/>
              <w:rPr>
                <w:rFonts w:hAnsi="宋体"/>
              </w:rPr>
            </w:pPr>
            <w:r>
              <w:rPr>
                <w:rFonts w:hint="eastAsia" w:hAnsi="宋体"/>
              </w:rPr>
              <w:t>生物质热风炉工艺描述：</w:t>
            </w:r>
          </w:p>
          <w:p>
            <w:pPr>
              <w:pStyle w:val="25"/>
              <w:ind w:firstLine="480"/>
              <w:rPr>
                <w:rStyle w:val="47"/>
                <w:rFonts w:hint="default"/>
                <w:color w:val="auto"/>
              </w:rPr>
            </w:pPr>
            <w:r>
              <w:rPr>
                <w:rFonts w:hint="eastAsia" w:hAnsi="宋体"/>
                <w:szCs w:val="24"/>
              </w:rPr>
              <w:t>项目烘干塔配套有生物质热风炉，生物质颗粒在燃烧室内充分燃烧，烘干介质为空气，燃烧后的高温气体，</w:t>
            </w:r>
            <w:r>
              <w:rPr>
                <w:rStyle w:val="47"/>
                <w:rFonts w:hint="default" w:ascii="Times New Roman"/>
                <w:color w:val="auto"/>
              </w:rPr>
              <w:t>产生热能，将外部空气抽入通过热交换器进行换热，将适宜温度的洁净热气流输送到烘干塔进行粮食的烘干，热气流温度可控制在</w:t>
            </w:r>
            <w:r>
              <w:rPr>
                <w:rStyle w:val="37"/>
                <w:rFonts w:hint="default" w:ascii="Times New Roman"/>
                <w:color w:val="auto"/>
              </w:rPr>
              <w:t>0-200</w:t>
            </w:r>
            <w:r>
              <w:rPr>
                <w:rStyle w:val="47"/>
                <w:rFonts w:hint="default"/>
                <w:color w:val="auto"/>
              </w:rPr>
              <w:t>℃</w:t>
            </w:r>
            <w:r>
              <w:rPr>
                <w:rStyle w:val="47"/>
                <w:rFonts w:hint="default" w:ascii="Times New Roman"/>
                <w:color w:val="auto"/>
              </w:rPr>
              <w:t>，通过</w:t>
            </w:r>
            <w:r>
              <w:rPr>
                <w:rStyle w:val="47"/>
                <w:rFonts w:hint="default"/>
                <w:color w:val="auto"/>
              </w:rPr>
              <w:t>粮食的种类和初始含水率可调节热气流的温度。</w:t>
            </w:r>
          </w:p>
          <w:p>
            <w:pPr>
              <w:pStyle w:val="25"/>
              <w:ind w:firstLine="480"/>
            </w:pPr>
            <w:r>
              <w:rPr>
                <w:rStyle w:val="47"/>
                <w:rFonts w:hint="default"/>
                <w:color w:val="auto"/>
              </w:rPr>
              <w:t>烘干工序产生的主要污染物为烘干粉尘、热风炉烟气、炉渣以及设备噪声。</w:t>
            </w:r>
          </w:p>
          <w:p>
            <w:pPr>
              <w:pStyle w:val="31"/>
              <w:ind w:firstLine="480"/>
              <w:rPr>
                <w:rFonts w:eastAsiaTheme="minorEastAsia"/>
                <w:color w:val="auto"/>
                <w:kern w:val="2"/>
              </w:rPr>
            </w:pPr>
            <w:r>
              <w:rPr>
                <w:rFonts w:eastAsiaTheme="minorEastAsia"/>
                <w:color w:val="auto"/>
              </w:rPr>
              <w:fldChar w:fldCharType="begin"/>
            </w:r>
            <w:r>
              <w:rPr>
                <w:rFonts w:eastAsiaTheme="minorEastAsia"/>
                <w:color w:val="auto"/>
              </w:rPr>
              <w:instrText xml:space="preserve"> = 3 \* GB3 </w:instrText>
            </w:r>
            <w:r>
              <w:rPr>
                <w:rFonts w:eastAsiaTheme="minorEastAsia"/>
                <w:color w:val="auto"/>
              </w:rPr>
              <w:fldChar w:fldCharType="separate"/>
            </w:r>
            <w:r>
              <w:rPr>
                <w:rFonts w:asciiTheme="minorEastAsia" w:eastAsiaTheme="minorEastAsia"/>
                <w:color w:val="auto"/>
              </w:rPr>
              <w:t>③</w:t>
            </w:r>
            <w:r>
              <w:rPr>
                <w:rFonts w:eastAsiaTheme="minorEastAsia"/>
                <w:color w:val="auto"/>
              </w:rPr>
              <w:fldChar w:fldCharType="end"/>
            </w:r>
            <w:r>
              <w:rPr>
                <w:rFonts w:hint="eastAsia" w:eastAsiaTheme="minorEastAsia"/>
                <w:color w:val="auto"/>
              </w:rPr>
              <w:t>粮食贮存：项目仓库采用自然通风，夏季隔热、通风降温措施</w:t>
            </w:r>
            <w:r>
              <w:rPr>
                <w:rFonts w:eastAsiaTheme="minorEastAsia"/>
                <w:color w:val="auto"/>
                <w:kern w:val="2"/>
              </w:rPr>
              <w:t>。</w:t>
            </w:r>
            <w:r>
              <w:rPr>
                <w:rFonts w:hint="eastAsia" w:eastAsiaTheme="minorEastAsia"/>
                <w:color w:val="auto"/>
                <w:kern w:val="2"/>
              </w:rPr>
              <w:t>本项目采用空仓进行消毒，采用甲基嘧啶磷乳油杀虫剂。粮食进仓后不使用杀虫剂。</w:t>
            </w:r>
          </w:p>
          <w:p>
            <w:pPr>
              <w:pStyle w:val="31"/>
              <w:ind w:firstLine="480"/>
              <w:rPr>
                <w:rFonts w:eastAsiaTheme="minorEastAsia"/>
                <w:color w:val="auto"/>
                <w:kern w:val="2"/>
              </w:rPr>
            </w:pPr>
            <w:r>
              <w:rPr>
                <w:rFonts w:hint="eastAsia" w:eastAsiaTheme="minorEastAsia"/>
                <w:color w:val="auto"/>
                <w:kern w:val="2"/>
              </w:rPr>
              <w:t>甲基嘧啶磷乳油有效成分为55%甲基嘧啶磷，属于有机磷杀虫剂，低毒。具有触杀、胃毒、熏蒸和一定的内吸作用，其作用机理为抑制已酰胆碱酯酶。对赤拟谷盗、谷蟲、玉米象、书虱、锈赤扁谷盗有较优异的防治效果。</w:t>
            </w:r>
          </w:p>
          <w:p>
            <w:pPr>
              <w:pStyle w:val="31"/>
              <w:ind w:firstLine="482"/>
              <w:rPr>
                <w:rFonts w:eastAsiaTheme="minorEastAsia"/>
                <w:b/>
                <w:bCs/>
                <w:color w:val="auto"/>
                <w:szCs w:val="21"/>
              </w:rPr>
            </w:pPr>
            <w:r>
              <w:rPr>
                <w:rFonts w:eastAsiaTheme="minorEastAsia"/>
                <w:b/>
                <w:bCs/>
                <w:color w:val="auto"/>
                <w:szCs w:val="21"/>
              </w:rPr>
              <w:t>3、主要污染工序</w:t>
            </w:r>
          </w:p>
          <w:p>
            <w:pPr>
              <w:pStyle w:val="31"/>
              <w:ind w:firstLine="482"/>
              <w:rPr>
                <w:rFonts w:eastAsiaTheme="minorEastAsia"/>
                <w:b/>
                <w:bCs/>
                <w:color w:val="auto"/>
                <w:szCs w:val="21"/>
              </w:rPr>
            </w:pPr>
            <w:r>
              <w:rPr>
                <w:rFonts w:eastAsiaTheme="minorEastAsia"/>
                <w:b/>
                <w:bCs/>
                <w:color w:val="auto"/>
                <w:szCs w:val="21"/>
              </w:rPr>
              <w:t>施工期：</w:t>
            </w:r>
          </w:p>
          <w:p>
            <w:pPr>
              <w:pStyle w:val="31"/>
              <w:ind w:firstLine="480"/>
              <w:rPr>
                <w:rFonts w:eastAsiaTheme="minorEastAsia"/>
                <w:bCs/>
                <w:color w:val="auto"/>
                <w:szCs w:val="21"/>
              </w:rPr>
            </w:pPr>
            <w:r>
              <w:rPr>
                <w:rFonts w:eastAsiaTheme="minorEastAsia"/>
                <w:bCs/>
                <w:color w:val="auto"/>
                <w:szCs w:val="21"/>
              </w:rPr>
              <w:t>废气：</w:t>
            </w:r>
          </w:p>
          <w:p>
            <w:pPr>
              <w:pStyle w:val="31"/>
              <w:ind w:firstLine="480"/>
              <w:rPr>
                <w:rFonts w:eastAsiaTheme="minorEastAsia"/>
                <w:bCs/>
                <w:color w:val="auto"/>
                <w:szCs w:val="21"/>
              </w:rPr>
            </w:pPr>
            <w:r>
              <w:rPr>
                <w:rStyle w:val="47"/>
                <w:rFonts w:hint="default" w:ascii="Times New Roman" w:hAnsi="Times New Roman" w:eastAsiaTheme="minorEastAsia"/>
                <w:color w:val="auto"/>
              </w:rPr>
              <w:t>本项目施工期间产生的主要废气是基础开挖、建筑材料的堆存和运输、设备的装卸等环节产生的扬尘。</w:t>
            </w:r>
          </w:p>
          <w:p>
            <w:pPr>
              <w:pStyle w:val="31"/>
              <w:ind w:firstLine="480"/>
              <w:rPr>
                <w:rFonts w:eastAsiaTheme="minorEastAsia"/>
                <w:color w:val="auto"/>
              </w:rPr>
            </w:pPr>
            <w:r>
              <w:rPr>
                <w:rFonts w:eastAsiaTheme="minorEastAsia"/>
                <w:color w:val="auto"/>
              </w:rPr>
              <w:t>噪声：</w:t>
            </w:r>
          </w:p>
          <w:p>
            <w:pPr>
              <w:pStyle w:val="31"/>
              <w:ind w:firstLine="480"/>
              <w:rPr>
                <w:rStyle w:val="47"/>
                <w:rFonts w:hint="default" w:ascii="Times New Roman" w:hAnsi="Times New Roman" w:eastAsiaTheme="minorEastAsia"/>
                <w:color w:val="auto"/>
              </w:rPr>
            </w:pPr>
            <w:r>
              <w:rPr>
                <w:rStyle w:val="47"/>
                <w:rFonts w:hint="default" w:ascii="Times New Roman" w:hAnsi="Times New Roman" w:eastAsiaTheme="minorEastAsia"/>
                <w:color w:val="auto"/>
              </w:rPr>
              <w:t>本项目施工期间产生的主要噪声有施工设备和运输车辆产生的噪声。</w:t>
            </w:r>
          </w:p>
          <w:p>
            <w:pPr>
              <w:pStyle w:val="31"/>
              <w:ind w:firstLine="480"/>
              <w:rPr>
                <w:rStyle w:val="47"/>
                <w:rFonts w:hint="default" w:ascii="Times New Roman" w:hAnsi="Times New Roman" w:eastAsiaTheme="minorEastAsia"/>
                <w:color w:val="auto"/>
              </w:rPr>
            </w:pPr>
            <w:r>
              <w:rPr>
                <w:rStyle w:val="47"/>
                <w:rFonts w:hint="default" w:ascii="Times New Roman" w:hAnsi="Times New Roman" w:eastAsiaTheme="minorEastAsia"/>
                <w:color w:val="auto"/>
              </w:rPr>
              <w:t>废水：</w:t>
            </w:r>
          </w:p>
          <w:p>
            <w:pPr>
              <w:pStyle w:val="31"/>
              <w:ind w:firstLine="480"/>
              <w:rPr>
                <w:rStyle w:val="47"/>
                <w:rFonts w:hint="default" w:ascii="Times New Roman" w:hAnsi="Times New Roman" w:eastAsiaTheme="minorEastAsia"/>
                <w:color w:val="auto"/>
              </w:rPr>
            </w:pPr>
            <w:r>
              <w:rPr>
                <w:rStyle w:val="47"/>
                <w:rFonts w:hint="default" w:ascii="Times New Roman" w:hAnsi="Times New Roman" w:eastAsiaTheme="minorEastAsia"/>
                <w:color w:val="auto"/>
              </w:rPr>
              <w:t>本项目施工期间产生的废水主要有施工废水和施工人员产生的生活污水。</w:t>
            </w:r>
          </w:p>
          <w:p>
            <w:pPr>
              <w:pStyle w:val="31"/>
              <w:ind w:firstLine="480"/>
              <w:rPr>
                <w:rFonts w:eastAsiaTheme="minorEastAsia"/>
                <w:color w:val="auto"/>
              </w:rPr>
            </w:pPr>
            <w:r>
              <w:rPr>
                <w:rFonts w:eastAsiaTheme="minorEastAsia"/>
                <w:color w:val="auto"/>
              </w:rPr>
              <w:t>固体废物：</w:t>
            </w:r>
          </w:p>
          <w:p>
            <w:pPr>
              <w:pStyle w:val="31"/>
              <w:ind w:firstLine="480"/>
              <w:rPr>
                <w:rStyle w:val="47"/>
                <w:rFonts w:hint="default" w:ascii="Times New Roman" w:hAnsi="Times New Roman" w:eastAsiaTheme="minorEastAsia"/>
                <w:color w:val="auto"/>
              </w:rPr>
            </w:pPr>
            <w:r>
              <w:rPr>
                <w:rStyle w:val="47"/>
                <w:rFonts w:hint="default" w:ascii="Times New Roman" w:hAnsi="Times New Roman" w:eastAsiaTheme="minorEastAsia"/>
                <w:color w:val="auto"/>
              </w:rPr>
              <w:t>本项目施工期间产生的固体废物主要有建筑垃圾和施工人员生活垃圾。</w:t>
            </w:r>
          </w:p>
          <w:p>
            <w:pPr>
              <w:pStyle w:val="31"/>
              <w:ind w:firstLine="482"/>
              <w:rPr>
                <w:rFonts w:eastAsiaTheme="minorEastAsia"/>
                <w:b/>
                <w:bCs/>
                <w:color w:val="auto"/>
                <w:szCs w:val="21"/>
              </w:rPr>
            </w:pPr>
            <w:r>
              <w:rPr>
                <w:rFonts w:eastAsiaTheme="minorEastAsia"/>
                <w:b/>
                <w:bCs/>
                <w:color w:val="auto"/>
                <w:szCs w:val="21"/>
              </w:rPr>
              <w:t>运营期：</w:t>
            </w:r>
          </w:p>
          <w:p>
            <w:pPr>
              <w:pStyle w:val="31"/>
              <w:ind w:firstLine="480"/>
              <w:rPr>
                <w:rFonts w:eastAsiaTheme="minorEastAsia"/>
                <w:bCs/>
                <w:color w:val="auto"/>
                <w:szCs w:val="21"/>
              </w:rPr>
            </w:pPr>
            <w:r>
              <w:rPr>
                <w:rFonts w:eastAsiaTheme="minorEastAsia"/>
                <w:bCs/>
                <w:color w:val="auto"/>
                <w:szCs w:val="21"/>
              </w:rPr>
              <w:t>废气：</w:t>
            </w:r>
          </w:p>
          <w:p>
            <w:pPr>
              <w:pStyle w:val="31"/>
              <w:ind w:firstLine="480"/>
              <w:rPr>
                <w:rFonts w:eastAsiaTheme="minorEastAsia"/>
                <w:bCs/>
                <w:color w:val="auto"/>
                <w:szCs w:val="21"/>
              </w:rPr>
            </w:pPr>
            <w:r>
              <w:rPr>
                <w:rFonts w:eastAsiaTheme="minorEastAsia"/>
                <w:bCs/>
                <w:color w:val="auto"/>
                <w:szCs w:val="21"/>
              </w:rPr>
              <w:t>本项目运营期产生废气主要有</w:t>
            </w:r>
            <w:r>
              <w:rPr>
                <w:rFonts w:hint="eastAsia" w:eastAsiaTheme="minorEastAsia"/>
                <w:bCs/>
                <w:color w:val="auto"/>
                <w:szCs w:val="21"/>
              </w:rPr>
              <w:t>卸粮废气、</w:t>
            </w:r>
            <w:r>
              <w:rPr>
                <w:rStyle w:val="47"/>
                <w:rFonts w:hint="default"/>
                <w:color w:val="auto"/>
              </w:rPr>
              <w:t>粮食初清产生的粉尘（以颗粒物计），烘干产生的粉尘（以颗粒物计），生物质热风炉产生的燃烧废气、热风炉出灰和卸灰粉尘和食堂油烟等。</w:t>
            </w:r>
          </w:p>
          <w:p>
            <w:pPr>
              <w:pStyle w:val="31"/>
              <w:ind w:firstLine="480"/>
              <w:rPr>
                <w:rFonts w:eastAsiaTheme="minorEastAsia"/>
                <w:bCs/>
                <w:color w:val="auto"/>
                <w:szCs w:val="21"/>
              </w:rPr>
            </w:pPr>
            <w:r>
              <w:rPr>
                <w:rFonts w:eastAsiaTheme="minorEastAsia"/>
                <w:bCs/>
                <w:color w:val="auto"/>
                <w:szCs w:val="21"/>
              </w:rPr>
              <w:t>废水：</w:t>
            </w:r>
          </w:p>
          <w:p>
            <w:pPr>
              <w:pStyle w:val="31"/>
              <w:ind w:firstLine="480"/>
              <w:rPr>
                <w:rFonts w:eastAsiaTheme="minorEastAsia"/>
                <w:bCs/>
                <w:color w:val="auto"/>
                <w:szCs w:val="21"/>
              </w:rPr>
            </w:pPr>
            <w:r>
              <w:rPr>
                <w:rFonts w:eastAsiaTheme="minorEastAsia"/>
                <w:bCs/>
                <w:color w:val="auto"/>
                <w:szCs w:val="21"/>
              </w:rPr>
              <w:t>运营期</w:t>
            </w:r>
            <w:r>
              <w:rPr>
                <w:rFonts w:hint="eastAsia" w:eastAsiaTheme="minorEastAsia"/>
                <w:bCs/>
                <w:color w:val="auto"/>
                <w:szCs w:val="21"/>
              </w:rPr>
              <w:t>无生产废水产生，</w:t>
            </w:r>
            <w:r>
              <w:rPr>
                <w:rFonts w:eastAsiaTheme="minorEastAsia"/>
                <w:bCs/>
                <w:color w:val="auto"/>
                <w:szCs w:val="21"/>
              </w:rPr>
              <w:t>主要</w:t>
            </w:r>
            <w:r>
              <w:rPr>
                <w:rFonts w:hint="eastAsia" w:eastAsiaTheme="minorEastAsia"/>
                <w:bCs/>
                <w:color w:val="auto"/>
                <w:szCs w:val="21"/>
              </w:rPr>
              <w:t>为</w:t>
            </w:r>
            <w:r>
              <w:rPr>
                <w:rFonts w:eastAsiaTheme="minorEastAsia"/>
                <w:bCs/>
                <w:color w:val="auto"/>
                <w:szCs w:val="21"/>
              </w:rPr>
              <w:t>工作人员生活污水。</w:t>
            </w:r>
          </w:p>
          <w:p>
            <w:pPr>
              <w:pStyle w:val="31"/>
              <w:ind w:firstLine="480"/>
              <w:rPr>
                <w:rFonts w:eastAsiaTheme="minorEastAsia"/>
                <w:bCs/>
                <w:color w:val="auto"/>
                <w:szCs w:val="21"/>
              </w:rPr>
            </w:pPr>
            <w:r>
              <w:rPr>
                <w:rFonts w:eastAsiaTheme="minorEastAsia"/>
                <w:bCs/>
                <w:color w:val="auto"/>
                <w:szCs w:val="21"/>
              </w:rPr>
              <w:t>噪声：</w:t>
            </w:r>
          </w:p>
          <w:p>
            <w:pPr>
              <w:pStyle w:val="31"/>
              <w:ind w:firstLine="480"/>
              <w:rPr>
                <w:rFonts w:eastAsiaTheme="minorEastAsia"/>
                <w:bCs/>
                <w:color w:val="auto"/>
                <w:szCs w:val="21"/>
              </w:rPr>
            </w:pPr>
            <w:r>
              <w:rPr>
                <w:rFonts w:eastAsiaTheme="minorEastAsia"/>
                <w:bCs/>
                <w:color w:val="auto"/>
                <w:szCs w:val="21"/>
              </w:rPr>
              <w:t>主要包括</w:t>
            </w:r>
            <w:r>
              <w:rPr>
                <w:rStyle w:val="47"/>
                <w:rFonts w:hint="default"/>
                <w:color w:val="auto"/>
              </w:rPr>
              <w:t>粮食初清设备、烘干过程风机设备以及热风炉运转产生的噪声</w:t>
            </w:r>
            <w:r>
              <w:rPr>
                <w:rFonts w:eastAsiaTheme="minorEastAsia"/>
                <w:bCs/>
                <w:color w:val="auto"/>
                <w:szCs w:val="21"/>
              </w:rPr>
              <w:t>。</w:t>
            </w:r>
          </w:p>
          <w:p>
            <w:pPr>
              <w:pStyle w:val="31"/>
              <w:ind w:firstLine="480"/>
              <w:rPr>
                <w:rFonts w:eastAsiaTheme="minorEastAsia"/>
                <w:bCs/>
                <w:color w:val="auto"/>
                <w:szCs w:val="21"/>
              </w:rPr>
            </w:pPr>
            <w:r>
              <w:rPr>
                <w:rFonts w:eastAsiaTheme="minorEastAsia"/>
                <w:bCs/>
                <w:color w:val="auto"/>
                <w:szCs w:val="21"/>
              </w:rPr>
              <w:t>固废：</w:t>
            </w:r>
          </w:p>
          <w:p>
            <w:pPr>
              <w:pStyle w:val="31"/>
              <w:ind w:firstLine="480"/>
              <w:rPr>
                <w:rFonts w:eastAsiaTheme="minorEastAsia"/>
                <w:bCs/>
                <w:color w:val="auto"/>
                <w:szCs w:val="21"/>
              </w:rPr>
            </w:pPr>
            <w:r>
              <w:rPr>
                <w:rFonts w:eastAsiaTheme="minorEastAsia"/>
                <w:bCs/>
                <w:color w:val="auto"/>
                <w:szCs w:val="21"/>
              </w:rPr>
              <w:t>主要包括</w:t>
            </w:r>
            <w:r>
              <w:rPr>
                <w:rStyle w:val="47"/>
                <w:rFonts w:hint="default"/>
                <w:color w:val="auto"/>
              </w:rPr>
              <w:t>职工产生的生活垃圾、粮食初清杂质、除尘器收集灰、热风炉灰渣</w:t>
            </w:r>
            <w:r>
              <w:rPr>
                <w:rFonts w:eastAsiaTheme="minorEastAsia"/>
                <w:bCs/>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23" w:hRule="atLeast"/>
          <w:jc w:val="center"/>
        </w:trPr>
        <w:tc>
          <w:tcPr>
            <w:tcW w:w="823" w:type="dxa"/>
            <w:vAlign w:val="center"/>
          </w:tcPr>
          <w:p>
            <w:pPr>
              <w:pStyle w:val="14"/>
              <w:adjustRightInd w:val="0"/>
              <w:snapToGrid w:val="0"/>
              <w:spacing w:before="0" w:beforeAutospacing="0" w:after="0" w:afterAutospacing="0"/>
              <w:jc w:val="center"/>
              <w:rPr>
                <w:rFonts w:ascii="Times New Roman" w:hAnsi="Times New Roman" w:eastAsiaTheme="minorEastAsia"/>
                <w:szCs w:val="24"/>
              </w:rPr>
            </w:pPr>
            <w:r>
              <w:rPr>
                <w:rFonts w:ascii="Times New Roman" w:hAnsi="Times New Roman" w:eastAsiaTheme="minorEastAsia"/>
                <w:bCs/>
                <w:kern w:val="2"/>
                <w:szCs w:val="24"/>
              </w:rPr>
              <w:t>与项目有关的原有环境污染问题</w:t>
            </w:r>
          </w:p>
        </w:tc>
        <w:tc>
          <w:tcPr>
            <w:tcW w:w="8161" w:type="dxa"/>
            <w:vAlign w:val="center"/>
          </w:tcPr>
          <w:p>
            <w:pPr>
              <w:pStyle w:val="31"/>
              <w:ind w:firstLine="480"/>
              <w:jc w:val="left"/>
              <w:rPr>
                <w:rFonts w:eastAsiaTheme="minorEastAsia"/>
                <w:bCs/>
                <w:color w:val="auto"/>
                <w:szCs w:val="21"/>
              </w:rPr>
            </w:pPr>
            <w:r>
              <w:rPr>
                <w:rFonts w:hint="eastAsia" w:eastAsiaTheme="minorEastAsia"/>
                <w:color w:val="auto"/>
              </w:rPr>
              <w:t>无</w:t>
            </w:r>
          </w:p>
        </w:tc>
      </w:tr>
    </w:tbl>
    <w:p>
      <w:pPr>
        <w:pStyle w:val="14"/>
        <w:ind w:firstLine="720"/>
        <w:jc w:val="center"/>
        <w:rPr>
          <w:rFonts w:ascii="Times New Roman" w:hAnsi="Times New Roman" w:eastAsiaTheme="minorEastAsia"/>
          <w:snapToGrid w:val="0"/>
          <w:sz w:val="36"/>
          <w:szCs w:val="36"/>
        </w:rPr>
        <w:sectPr>
          <w:pgSz w:w="11906" w:h="16838"/>
          <w:pgMar w:top="1701" w:right="1531" w:bottom="1701" w:left="1531" w:header="851" w:footer="851" w:gutter="0"/>
          <w:cols w:space="720" w:num="1"/>
          <w:docGrid w:linePitch="312" w:charSpace="0"/>
        </w:sectPr>
      </w:pPr>
    </w:p>
    <w:p>
      <w:pPr>
        <w:pStyle w:val="14"/>
        <w:adjustRightInd w:val="0"/>
        <w:snapToGrid w:val="0"/>
        <w:spacing w:before="0" w:beforeAutospacing="0" w:after="0" w:afterAutospacing="0" w:line="14" w:lineRule="auto"/>
        <w:ind w:firstLine="600"/>
        <w:jc w:val="center"/>
        <w:outlineLvl w:val="0"/>
        <w:rPr>
          <w:rFonts w:ascii="Times New Roman" w:hAnsi="Times New Roman" w:eastAsiaTheme="minorEastAsia"/>
          <w:snapToGrid w:val="0"/>
          <w:sz w:val="30"/>
          <w:szCs w:val="30"/>
        </w:rPr>
      </w:pPr>
    </w:p>
    <w:p>
      <w:pPr>
        <w:pStyle w:val="14"/>
        <w:keepNext w:val="0"/>
        <w:keepLines w:val="0"/>
        <w:pageBreakBefore w:val="0"/>
        <w:widowControl/>
        <w:kinsoku/>
        <w:wordWrap/>
        <w:overflowPunct/>
        <w:topLinePunct w:val="0"/>
        <w:autoSpaceDE/>
        <w:autoSpaceDN/>
        <w:bidi w:val="0"/>
        <w:adjustRightInd/>
        <w:snapToGrid/>
        <w:ind w:firstLine="0"/>
        <w:jc w:val="center"/>
        <w:textAlignment w:val="auto"/>
        <w:outlineLvl w:val="0"/>
        <w:rPr>
          <w:rFonts w:ascii="Times New Roman" w:hAnsi="Times New Roman" w:eastAsiaTheme="minorEastAsia"/>
          <w:snapToGrid w:val="0"/>
          <w:sz w:val="30"/>
          <w:szCs w:val="30"/>
        </w:rPr>
      </w:pPr>
      <w:r>
        <w:rPr>
          <w:rFonts w:ascii="Times New Roman" w:hAnsi="Times New Roman" w:eastAsiaTheme="minorEastAsia"/>
          <w:snapToGrid w:val="0"/>
          <w:sz w:val="30"/>
          <w:szCs w:val="30"/>
        </w:rPr>
        <w:t>三、区域环境质量现状、环境保护目标及评价标准</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402" w:hRule="atLeast"/>
          <w:jc w:val="center"/>
        </w:trPr>
        <w:tc>
          <w:tcPr>
            <w:tcW w:w="800" w:type="dxa"/>
            <w:vAlign w:val="center"/>
          </w:tcPr>
          <w:p>
            <w:pPr>
              <w:adjustRightInd w:val="0"/>
              <w:snapToGrid w:val="0"/>
              <w:jc w:val="center"/>
              <w:rPr>
                <w:rFonts w:eastAsiaTheme="minorEastAsia"/>
                <w:kern w:val="0"/>
                <w:szCs w:val="21"/>
              </w:rPr>
            </w:pPr>
            <w:r>
              <w:rPr>
                <w:rFonts w:eastAsiaTheme="minorEastAsia"/>
                <w:kern w:val="0"/>
                <w:szCs w:val="21"/>
              </w:rPr>
              <w:t>区域</w:t>
            </w:r>
          </w:p>
          <w:p>
            <w:pPr>
              <w:adjustRightInd w:val="0"/>
              <w:snapToGrid w:val="0"/>
              <w:jc w:val="center"/>
              <w:rPr>
                <w:rFonts w:eastAsiaTheme="minorEastAsia"/>
                <w:kern w:val="0"/>
                <w:szCs w:val="21"/>
              </w:rPr>
            </w:pPr>
            <w:r>
              <w:rPr>
                <w:rFonts w:eastAsiaTheme="minorEastAsia"/>
                <w:kern w:val="0"/>
                <w:szCs w:val="21"/>
              </w:rPr>
              <w:t>环境</w:t>
            </w:r>
          </w:p>
          <w:p>
            <w:pPr>
              <w:adjustRightInd w:val="0"/>
              <w:snapToGrid w:val="0"/>
              <w:jc w:val="center"/>
              <w:rPr>
                <w:rFonts w:eastAsiaTheme="minorEastAsia"/>
                <w:kern w:val="0"/>
                <w:szCs w:val="21"/>
              </w:rPr>
            </w:pPr>
            <w:r>
              <w:rPr>
                <w:rFonts w:eastAsiaTheme="minorEastAsia"/>
                <w:kern w:val="0"/>
                <w:szCs w:val="21"/>
              </w:rPr>
              <w:t>质量</w:t>
            </w:r>
          </w:p>
          <w:p>
            <w:pPr>
              <w:adjustRightInd w:val="0"/>
              <w:snapToGrid w:val="0"/>
              <w:jc w:val="center"/>
              <w:rPr>
                <w:rFonts w:eastAsiaTheme="minorEastAsia"/>
                <w:kern w:val="0"/>
                <w:szCs w:val="21"/>
              </w:rPr>
            </w:pPr>
            <w:r>
              <w:rPr>
                <w:rFonts w:eastAsiaTheme="minorEastAsia"/>
                <w:kern w:val="0"/>
                <w:szCs w:val="21"/>
              </w:rPr>
              <w:t>现状</w:t>
            </w:r>
          </w:p>
        </w:tc>
        <w:tc>
          <w:tcPr>
            <w:tcW w:w="8190" w:type="dxa"/>
            <w:vAlign w:val="center"/>
          </w:tcPr>
          <w:p>
            <w:pPr>
              <w:pStyle w:val="31"/>
              <w:ind w:firstLine="482"/>
              <w:rPr>
                <w:rFonts w:eastAsiaTheme="minorEastAsia"/>
                <w:b/>
                <w:color w:val="auto"/>
              </w:rPr>
            </w:pPr>
            <w:r>
              <w:rPr>
                <w:rFonts w:eastAsiaTheme="minorEastAsia"/>
                <w:b/>
                <w:color w:val="auto"/>
              </w:rPr>
              <w:t>1、环境空气质量现状</w:t>
            </w:r>
          </w:p>
          <w:p>
            <w:pPr>
              <w:pStyle w:val="31"/>
              <w:ind w:firstLine="480"/>
              <w:rPr>
                <w:rFonts w:eastAsiaTheme="minorEastAsia"/>
                <w:color w:val="auto"/>
              </w:rPr>
            </w:pPr>
            <w:r>
              <w:rPr>
                <w:rFonts w:eastAsiaTheme="minorEastAsia"/>
                <w:color w:val="auto"/>
              </w:rPr>
              <w:t>（1）环境空气质量达标区判定</w:t>
            </w:r>
          </w:p>
          <w:p>
            <w:pPr>
              <w:pStyle w:val="31"/>
              <w:ind w:firstLine="480"/>
              <w:rPr>
                <w:rFonts w:eastAsiaTheme="minorEastAsia"/>
                <w:color w:val="auto"/>
              </w:rPr>
            </w:pPr>
            <w:r>
              <w:rPr>
                <w:rFonts w:hint="eastAsia" w:eastAsiaTheme="minorEastAsia"/>
                <w:color w:val="auto"/>
              </w:rPr>
              <w:t>数据来源于五原县2022年连续一年环境空气质量监测站点的数据，2022年五原县城区环境空气质量有效自动监测天数为362天，空气优良天气320天，优良率88.4%。</w:t>
            </w:r>
          </w:p>
          <w:p>
            <w:pPr>
              <w:pStyle w:val="31"/>
              <w:ind w:firstLine="480"/>
              <w:rPr>
                <w:rFonts w:eastAsiaTheme="minorEastAsia"/>
                <w:color w:val="auto"/>
              </w:rPr>
            </w:pPr>
            <w:r>
              <w:rPr>
                <w:rFonts w:hint="eastAsia" w:eastAsiaTheme="minorEastAsia"/>
                <w:color w:val="auto"/>
              </w:rPr>
              <w:t>细颗粒物（PM</w:t>
            </w:r>
            <w:r>
              <w:rPr>
                <w:rFonts w:hint="eastAsia" w:eastAsiaTheme="minorEastAsia"/>
                <w:color w:val="auto"/>
                <w:vertAlign w:val="subscript"/>
              </w:rPr>
              <w:t>2.5</w:t>
            </w:r>
            <w:r>
              <w:rPr>
                <w:rFonts w:hint="eastAsia" w:eastAsiaTheme="minorEastAsia"/>
                <w:color w:val="auto"/>
              </w:rPr>
              <w:t>）年平均浓度为27微克/立方米；可吸入颗粒物（PM</w:t>
            </w:r>
            <w:r>
              <w:rPr>
                <w:rFonts w:hint="eastAsia" w:eastAsiaTheme="minorEastAsia"/>
                <w:color w:val="auto"/>
                <w:vertAlign w:val="subscript"/>
              </w:rPr>
              <w:t>10</w:t>
            </w:r>
            <w:r>
              <w:rPr>
                <w:rFonts w:hint="eastAsia" w:eastAsiaTheme="minorEastAsia"/>
                <w:color w:val="auto"/>
              </w:rPr>
              <w:t>）年平均浓度为54微克/立方米；二氧化硫（SO</w:t>
            </w:r>
            <w:r>
              <w:rPr>
                <w:rFonts w:hint="eastAsia" w:eastAsiaTheme="minorEastAsia"/>
                <w:color w:val="auto"/>
                <w:vertAlign w:val="subscript"/>
              </w:rPr>
              <w:t>2</w:t>
            </w:r>
            <w:r>
              <w:rPr>
                <w:rFonts w:hint="eastAsia" w:eastAsiaTheme="minorEastAsia"/>
                <w:color w:val="auto"/>
              </w:rPr>
              <w:t>）年平均浓度为12微克/立方米；二氧化氮（NO</w:t>
            </w:r>
            <w:r>
              <w:rPr>
                <w:rFonts w:hint="eastAsia" w:eastAsiaTheme="minorEastAsia"/>
                <w:color w:val="auto"/>
                <w:vertAlign w:val="subscript"/>
              </w:rPr>
              <w:t>2</w:t>
            </w:r>
            <w:r>
              <w:rPr>
                <w:rFonts w:hint="eastAsia" w:eastAsiaTheme="minorEastAsia"/>
                <w:color w:val="auto"/>
              </w:rPr>
              <w:t>）年平均浓度为20微克/立方米；一氧化碳（CO）日均值第95百分位浓度为1.4毫克/立方米；臭氧（O</w:t>
            </w:r>
            <w:r>
              <w:rPr>
                <w:rFonts w:hint="eastAsia" w:eastAsiaTheme="minorEastAsia"/>
                <w:color w:val="auto"/>
                <w:vertAlign w:val="subscript"/>
              </w:rPr>
              <w:t>3</w:t>
            </w:r>
            <w:r>
              <w:rPr>
                <w:rFonts w:hint="eastAsia" w:eastAsiaTheme="minorEastAsia"/>
                <w:color w:val="auto"/>
              </w:rPr>
              <w:t>）日最大8小时滑动平均值第90百分位浓度为145微克/立方米。</w:t>
            </w:r>
          </w:p>
          <w:p>
            <w:pPr>
              <w:pStyle w:val="31"/>
              <w:ind w:firstLine="480"/>
              <w:rPr>
                <w:rFonts w:eastAsiaTheme="minorEastAsia"/>
                <w:color w:val="auto"/>
              </w:rPr>
            </w:pPr>
            <w:r>
              <w:rPr>
                <w:rFonts w:hint="eastAsia" w:eastAsiaTheme="minorEastAsia"/>
                <w:color w:val="auto"/>
              </w:rPr>
              <w:t>六项污染物年平均浓度（CO和O</w:t>
            </w:r>
            <w:r>
              <w:rPr>
                <w:rFonts w:hint="eastAsia" w:eastAsiaTheme="minorEastAsia"/>
                <w:color w:val="auto"/>
                <w:vertAlign w:val="subscript"/>
              </w:rPr>
              <w:t>3</w:t>
            </w:r>
            <w:r>
              <w:rPr>
                <w:rFonts w:hint="eastAsia" w:eastAsiaTheme="minorEastAsia"/>
                <w:color w:val="auto"/>
              </w:rPr>
              <w:t>除外），CO和O</w:t>
            </w:r>
            <w:r>
              <w:rPr>
                <w:rFonts w:hint="eastAsia" w:eastAsiaTheme="minorEastAsia"/>
                <w:color w:val="auto"/>
                <w:vertAlign w:val="subscript"/>
              </w:rPr>
              <w:t>3</w:t>
            </w:r>
            <w:r>
              <w:rPr>
                <w:rFonts w:hint="eastAsia" w:eastAsiaTheme="minorEastAsia"/>
                <w:color w:val="auto"/>
              </w:rPr>
              <w:t>特定百分位数浓度六项指标均达标。</w:t>
            </w:r>
          </w:p>
          <w:p>
            <w:pPr>
              <w:pStyle w:val="31"/>
              <w:ind w:firstLine="480"/>
              <w:rPr>
                <w:rFonts w:eastAsiaTheme="minorEastAsia"/>
                <w:color w:val="auto"/>
              </w:rPr>
            </w:pPr>
            <w:r>
              <w:rPr>
                <w:rFonts w:hint="eastAsia" w:eastAsiaTheme="minorEastAsia"/>
                <w:color w:val="auto"/>
              </w:rPr>
              <w:t>本项目所在区域属于达标区。</w:t>
            </w:r>
          </w:p>
          <w:p>
            <w:pPr>
              <w:spacing w:line="360" w:lineRule="auto"/>
              <w:ind w:firstLine="480"/>
              <w:rPr>
                <w:rFonts w:eastAsiaTheme="minorEastAsia"/>
                <w:sz w:val="24"/>
              </w:rPr>
            </w:pPr>
            <w:r>
              <w:rPr>
                <w:rFonts w:eastAsiaTheme="minorEastAsia"/>
                <w:sz w:val="24"/>
              </w:rPr>
              <w:t>基本污染物环境质量现状评价见下表。</w:t>
            </w:r>
          </w:p>
          <w:p>
            <w:pPr>
              <w:spacing w:line="276" w:lineRule="auto"/>
              <w:jc w:val="center"/>
              <w:rPr>
                <w:rFonts w:eastAsiaTheme="minorEastAsia"/>
                <w:b/>
                <w:szCs w:val="22"/>
              </w:rPr>
            </w:pPr>
            <w:r>
              <w:rPr>
                <w:rFonts w:eastAsiaTheme="minorEastAsia"/>
                <w:b/>
                <w:szCs w:val="22"/>
              </w:rPr>
              <w:t>表</w:t>
            </w:r>
            <w:r>
              <w:rPr>
                <w:rFonts w:hint="eastAsia" w:eastAsiaTheme="minorEastAsia"/>
                <w:b/>
                <w:szCs w:val="22"/>
              </w:rPr>
              <w:t>8</w:t>
            </w:r>
            <w:r>
              <w:rPr>
                <w:rFonts w:eastAsiaTheme="minorEastAsia"/>
                <w:b/>
                <w:szCs w:val="22"/>
              </w:rPr>
              <w:t xml:space="preserve">    基本污染物环境质量现状评价表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9"/>
              <w:gridCol w:w="865"/>
              <w:gridCol w:w="1753"/>
              <w:gridCol w:w="1311"/>
              <w:gridCol w:w="1311"/>
              <w:gridCol w:w="971"/>
              <w:gridCol w:w="11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Align w:val="center"/>
                </w:tcPr>
                <w:p>
                  <w:pPr>
                    <w:pStyle w:val="60"/>
                    <w:adjustRightInd w:val="0"/>
                    <w:snapToGrid w:val="0"/>
                    <w:spacing w:line="240" w:lineRule="auto"/>
                    <w:rPr>
                      <w:rFonts w:eastAsiaTheme="minorEastAsia"/>
                      <w:szCs w:val="21"/>
                    </w:rPr>
                  </w:pPr>
                  <w:r>
                    <w:rPr>
                      <w:rFonts w:eastAsiaTheme="minorEastAsia"/>
                      <w:szCs w:val="21"/>
                    </w:rPr>
                    <w:t>序号</w:t>
                  </w:r>
                </w:p>
              </w:tc>
              <w:tc>
                <w:tcPr>
                  <w:tcW w:w="542" w:type="pct"/>
                  <w:vAlign w:val="center"/>
                </w:tcPr>
                <w:p>
                  <w:pPr>
                    <w:pStyle w:val="60"/>
                    <w:adjustRightInd w:val="0"/>
                    <w:snapToGrid w:val="0"/>
                    <w:spacing w:line="240" w:lineRule="auto"/>
                    <w:rPr>
                      <w:rFonts w:eastAsiaTheme="minorEastAsia"/>
                      <w:szCs w:val="21"/>
                    </w:rPr>
                  </w:pPr>
                  <w:r>
                    <w:rPr>
                      <w:rFonts w:eastAsiaTheme="minorEastAsia"/>
                      <w:szCs w:val="21"/>
                    </w:rPr>
                    <w:t>污染物</w:t>
                  </w:r>
                </w:p>
              </w:tc>
              <w:tc>
                <w:tcPr>
                  <w:tcW w:w="1099" w:type="pct"/>
                  <w:vAlign w:val="center"/>
                </w:tcPr>
                <w:p>
                  <w:pPr>
                    <w:pStyle w:val="60"/>
                    <w:adjustRightInd w:val="0"/>
                    <w:snapToGrid w:val="0"/>
                    <w:spacing w:line="240" w:lineRule="auto"/>
                    <w:rPr>
                      <w:rFonts w:eastAsiaTheme="minorEastAsia"/>
                      <w:szCs w:val="21"/>
                    </w:rPr>
                  </w:pPr>
                  <w:r>
                    <w:rPr>
                      <w:rFonts w:eastAsiaTheme="minorEastAsia"/>
                      <w:szCs w:val="21"/>
                    </w:rPr>
                    <w:t>年评价指标</w:t>
                  </w:r>
                </w:p>
              </w:tc>
              <w:tc>
                <w:tcPr>
                  <w:tcW w:w="822" w:type="pct"/>
                  <w:vAlign w:val="center"/>
                </w:tcPr>
                <w:p>
                  <w:pPr>
                    <w:pStyle w:val="60"/>
                    <w:adjustRightInd w:val="0"/>
                    <w:snapToGrid w:val="0"/>
                    <w:spacing w:line="240" w:lineRule="auto"/>
                    <w:rPr>
                      <w:rFonts w:eastAsiaTheme="minorEastAsia"/>
                      <w:szCs w:val="21"/>
                    </w:rPr>
                  </w:pPr>
                  <w:r>
                    <w:rPr>
                      <w:rFonts w:eastAsiaTheme="minorEastAsia"/>
                      <w:szCs w:val="21"/>
                    </w:rPr>
                    <w:t>现状浓度（</w:t>
                  </w:r>
                  <w:r>
                    <w:rPr>
                      <w:rFonts w:eastAsiaTheme="minorEastAsia"/>
                    </w:rPr>
                    <w:t>μg/m</w:t>
                  </w:r>
                  <w:r>
                    <w:rPr>
                      <w:rFonts w:eastAsiaTheme="minorEastAsia"/>
                      <w:vertAlign w:val="superscript"/>
                    </w:rPr>
                    <w:t>3</w:t>
                  </w:r>
                  <w:r>
                    <w:rPr>
                      <w:rFonts w:eastAsiaTheme="minorEastAsia"/>
                      <w:szCs w:val="21"/>
                    </w:rPr>
                    <w:t>）</w:t>
                  </w:r>
                </w:p>
              </w:tc>
              <w:tc>
                <w:tcPr>
                  <w:tcW w:w="822" w:type="pct"/>
                  <w:vAlign w:val="center"/>
                </w:tcPr>
                <w:p>
                  <w:pPr>
                    <w:pStyle w:val="60"/>
                    <w:adjustRightInd w:val="0"/>
                    <w:snapToGrid w:val="0"/>
                    <w:spacing w:line="240" w:lineRule="auto"/>
                    <w:rPr>
                      <w:rFonts w:eastAsiaTheme="minorEastAsia"/>
                      <w:szCs w:val="21"/>
                    </w:rPr>
                  </w:pPr>
                  <w:r>
                    <w:rPr>
                      <w:rFonts w:eastAsiaTheme="minorEastAsia"/>
                      <w:szCs w:val="21"/>
                    </w:rPr>
                    <w:t>标准值（</w:t>
                  </w:r>
                  <w:r>
                    <w:rPr>
                      <w:rFonts w:eastAsiaTheme="minorEastAsia"/>
                    </w:rPr>
                    <w:t>μg/m</w:t>
                  </w:r>
                  <w:r>
                    <w:rPr>
                      <w:rFonts w:eastAsiaTheme="minorEastAsia"/>
                      <w:vertAlign w:val="superscript"/>
                    </w:rPr>
                    <w:t>3</w:t>
                  </w:r>
                  <w:r>
                    <w:rPr>
                      <w:rFonts w:eastAsiaTheme="minorEastAsia"/>
                      <w:szCs w:val="21"/>
                    </w:rPr>
                    <w:t>）</w:t>
                  </w:r>
                </w:p>
              </w:tc>
              <w:tc>
                <w:tcPr>
                  <w:tcW w:w="609" w:type="pct"/>
                  <w:vAlign w:val="center"/>
                </w:tcPr>
                <w:p>
                  <w:pPr>
                    <w:pStyle w:val="60"/>
                    <w:adjustRightInd w:val="0"/>
                    <w:snapToGrid w:val="0"/>
                    <w:spacing w:line="240" w:lineRule="auto"/>
                    <w:rPr>
                      <w:rFonts w:eastAsiaTheme="minorEastAsia"/>
                      <w:szCs w:val="21"/>
                    </w:rPr>
                  </w:pPr>
                  <w:r>
                    <w:rPr>
                      <w:rFonts w:eastAsiaTheme="minorEastAsia"/>
                      <w:szCs w:val="21"/>
                    </w:rPr>
                    <w:t>占标率（%）</w:t>
                  </w:r>
                </w:p>
              </w:tc>
              <w:tc>
                <w:tcPr>
                  <w:tcW w:w="711" w:type="pct"/>
                  <w:vAlign w:val="center"/>
                </w:tcPr>
                <w:p>
                  <w:pPr>
                    <w:pStyle w:val="60"/>
                    <w:adjustRightInd w:val="0"/>
                    <w:snapToGrid w:val="0"/>
                    <w:spacing w:line="240" w:lineRule="auto"/>
                    <w:rPr>
                      <w:rFonts w:eastAsiaTheme="minorEastAsia"/>
                      <w:szCs w:val="21"/>
                    </w:rPr>
                  </w:pPr>
                  <w:r>
                    <w:rPr>
                      <w:rFonts w:eastAsiaTheme="minorEastAsia"/>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Align w:val="center"/>
                </w:tcPr>
                <w:p>
                  <w:pPr>
                    <w:pStyle w:val="60"/>
                    <w:adjustRightInd w:val="0"/>
                    <w:snapToGrid w:val="0"/>
                    <w:spacing w:line="240" w:lineRule="auto"/>
                    <w:rPr>
                      <w:rFonts w:eastAsiaTheme="minorEastAsia"/>
                      <w:szCs w:val="21"/>
                    </w:rPr>
                  </w:pPr>
                  <w:r>
                    <w:rPr>
                      <w:rFonts w:eastAsiaTheme="minorEastAsia"/>
                      <w:szCs w:val="21"/>
                    </w:rPr>
                    <w:t>1</w:t>
                  </w:r>
                </w:p>
              </w:tc>
              <w:tc>
                <w:tcPr>
                  <w:tcW w:w="542" w:type="pct"/>
                  <w:vAlign w:val="center"/>
                </w:tcPr>
                <w:p>
                  <w:pPr>
                    <w:pStyle w:val="60"/>
                    <w:adjustRightInd w:val="0"/>
                    <w:snapToGrid w:val="0"/>
                    <w:spacing w:line="240" w:lineRule="auto"/>
                    <w:rPr>
                      <w:rFonts w:eastAsiaTheme="minorEastAsia"/>
                      <w:szCs w:val="21"/>
                    </w:rPr>
                  </w:pPr>
                  <w:r>
                    <w:rPr>
                      <w:rFonts w:eastAsiaTheme="minorEastAsia"/>
                      <w:szCs w:val="21"/>
                    </w:rPr>
                    <w:t>SO</w:t>
                  </w:r>
                  <w:r>
                    <w:rPr>
                      <w:rFonts w:eastAsiaTheme="minorEastAsia"/>
                      <w:szCs w:val="21"/>
                      <w:vertAlign w:val="subscript"/>
                    </w:rPr>
                    <w:t>2</w:t>
                  </w:r>
                </w:p>
              </w:tc>
              <w:tc>
                <w:tcPr>
                  <w:tcW w:w="1099" w:type="pct"/>
                  <w:vMerge w:val="restart"/>
                  <w:vAlign w:val="center"/>
                </w:tcPr>
                <w:p>
                  <w:pPr>
                    <w:pStyle w:val="60"/>
                    <w:adjustRightInd w:val="0"/>
                    <w:snapToGrid w:val="0"/>
                    <w:spacing w:line="240" w:lineRule="auto"/>
                    <w:rPr>
                      <w:rFonts w:eastAsiaTheme="minorEastAsia"/>
                      <w:szCs w:val="21"/>
                    </w:rPr>
                  </w:pPr>
                  <w:r>
                    <w:rPr>
                      <w:rFonts w:eastAsiaTheme="minorEastAsia"/>
                      <w:szCs w:val="21"/>
                    </w:rPr>
                    <w:t>年平均质量</w:t>
                  </w:r>
                </w:p>
                <w:p>
                  <w:pPr>
                    <w:pStyle w:val="60"/>
                    <w:adjustRightInd w:val="0"/>
                    <w:snapToGrid w:val="0"/>
                    <w:spacing w:line="240" w:lineRule="auto"/>
                    <w:rPr>
                      <w:rFonts w:eastAsiaTheme="minorEastAsia"/>
                      <w:szCs w:val="21"/>
                    </w:rPr>
                  </w:pPr>
                  <w:r>
                    <w:rPr>
                      <w:rFonts w:eastAsiaTheme="minorEastAsia"/>
                      <w:szCs w:val="21"/>
                    </w:rPr>
                    <w:t>浓度</w:t>
                  </w:r>
                </w:p>
              </w:tc>
              <w:tc>
                <w:tcPr>
                  <w:tcW w:w="822" w:type="pct"/>
                  <w:vAlign w:val="center"/>
                </w:tcPr>
                <w:p>
                  <w:pPr>
                    <w:pStyle w:val="60"/>
                    <w:adjustRightInd w:val="0"/>
                    <w:snapToGrid w:val="0"/>
                    <w:spacing w:line="240" w:lineRule="auto"/>
                    <w:rPr>
                      <w:rFonts w:eastAsiaTheme="minorEastAsia"/>
                      <w:szCs w:val="21"/>
                    </w:rPr>
                  </w:pPr>
                  <w:r>
                    <w:rPr>
                      <w:rFonts w:hint="eastAsia" w:eastAsiaTheme="minorEastAsia"/>
                    </w:rPr>
                    <w:t>12</w:t>
                  </w:r>
                </w:p>
              </w:tc>
              <w:tc>
                <w:tcPr>
                  <w:tcW w:w="822" w:type="pct"/>
                  <w:vAlign w:val="center"/>
                </w:tcPr>
                <w:p>
                  <w:pPr>
                    <w:pStyle w:val="60"/>
                    <w:adjustRightInd w:val="0"/>
                    <w:snapToGrid w:val="0"/>
                    <w:spacing w:line="240" w:lineRule="auto"/>
                    <w:rPr>
                      <w:rFonts w:eastAsiaTheme="minorEastAsia"/>
                      <w:szCs w:val="21"/>
                    </w:rPr>
                  </w:pPr>
                  <w:r>
                    <w:rPr>
                      <w:rFonts w:eastAsiaTheme="minorEastAsia"/>
                      <w:szCs w:val="21"/>
                    </w:rPr>
                    <w:t>60</w:t>
                  </w:r>
                </w:p>
              </w:tc>
              <w:tc>
                <w:tcPr>
                  <w:tcW w:w="609" w:type="pct"/>
                  <w:vAlign w:val="center"/>
                </w:tcPr>
                <w:p>
                  <w:pPr>
                    <w:pStyle w:val="60"/>
                    <w:adjustRightInd w:val="0"/>
                    <w:snapToGrid w:val="0"/>
                    <w:spacing w:line="240" w:lineRule="auto"/>
                    <w:rPr>
                      <w:rFonts w:eastAsiaTheme="minorEastAsia"/>
                      <w:szCs w:val="21"/>
                    </w:rPr>
                  </w:pPr>
                  <w:r>
                    <w:rPr>
                      <w:rFonts w:hint="eastAsia" w:eastAsiaTheme="minorEastAsia"/>
                      <w:szCs w:val="21"/>
                    </w:rPr>
                    <w:t>20.0</w:t>
                  </w:r>
                </w:p>
              </w:tc>
              <w:tc>
                <w:tcPr>
                  <w:tcW w:w="711" w:type="pct"/>
                  <w:vAlign w:val="center"/>
                </w:tcPr>
                <w:p>
                  <w:pPr>
                    <w:pStyle w:val="60"/>
                    <w:adjustRightInd w:val="0"/>
                    <w:snapToGrid w:val="0"/>
                    <w:spacing w:line="240" w:lineRule="auto"/>
                    <w:rPr>
                      <w:rFonts w:eastAsiaTheme="minorEastAsia"/>
                      <w:szCs w:val="21"/>
                    </w:rPr>
                  </w:pPr>
                  <w:r>
                    <w:rPr>
                      <w:rFonts w:eastAsiaTheme="minorEastAsia"/>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Align w:val="center"/>
                </w:tcPr>
                <w:p>
                  <w:pPr>
                    <w:pStyle w:val="60"/>
                    <w:adjustRightInd w:val="0"/>
                    <w:snapToGrid w:val="0"/>
                    <w:spacing w:line="240" w:lineRule="auto"/>
                    <w:rPr>
                      <w:rFonts w:eastAsiaTheme="minorEastAsia"/>
                      <w:szCs w:val="21"/>
                    </w:rPr>
                  </w:pPr>
                  <w:r>
                    <w:rPr>
                      <w:rFonts w:eastAsiaTheme="minorEastAsia"/>
                      <w:szCs w:val="21"/>
                    </w:rPr>
                    <w:t>2</w:t>
                  </w:r>
                </w:p>
              </w:tc>
              <w:tc>
                <w:tcPr>
                  <w:tcW w:w="542" w:type="pct"/>
                  <w:vAlign w:val="center"/>
                </w:tcPr>
                <w:p>
                  <w:pPr>
                    <w:pStyle w:val="60"/>
                    <w:adjustRightInd w:val="0"/>
                    <w:snapToGrid w:val="0"/>
                    <w:spacing w:line="240" w:lineRule="auto"/>
                    <w:rPr>
                      <w:rFonts w:eastAsiaTheme="minorEastAsia"/>
                      <w:szCs w:val="21"/>
                    </w:rPr>
                  </w:pPr>
                  <w:r>
                    <w:rPr>
                      <w:rFonts w:eastAsiaTheme="minorEastAsia"/>
                      <w:szCs w:val="21"/>
                    </w:rPr>
                    <w:t>NO</w:t>
                  </w:r>
                  <w:r>
                    <w:rPr>
                      <w:rFonts w:eastAsiaTheme="minorEastAsia"/>
                      <w:szCs w:val="21"/>
                      <w:vertAlign w:val="subscript"/>
                    </w:rPr>
                    <w:t>2</w:t>
                  </w:r>
                </w:p>
              </w:tc>
              <w:tc>
                <w:tcPr>
                  <w:tcW w:w="1099" w:type="pct"/>
                  <w:vMerge w:val="continue"/>
                  <w:vAlign w:val="center"/>
                </w:tcPr>
                <w:p>
                  <w:pPr>
                    <w:pStyle w:val="60"/>
                    <w:adjustRightInd w:val="0"/>
                    <w:snapToGrid w:val="0"/>
                    <w:spacing w:line="240" w:lineRule="auto"/>
                    <w:rPr>
                      <w:rFonts w:eastAsiaTheme="minorEastAsia"/>
                      <w:szCs w:val="21"/>
                    </w:rPr>
                  </w:pPr>
                </w:p>
              </w:tc>
              <w:tc>
                <w:tcPr>
                  <w:tcW w:w="822" w:type="pct"/>
                  <w:vAlign w:val="center"/>
                </w:tcPr>
                <w:p>
                  <w:pPr>
                    <w:pStyle w:val="60"/>
                    <w:adjustRightInd w:val="0"/>
                    <w:snapToGrid w:val="0"/>
                    <w:spacing w:line="240" w:lineRule="auto"/>
                    <w:rPr>
                      <w:rFonts w:eastAsiaTheme="minorEastAsia"/>
                      <w:szCs w:val="21"/>
                    </w:rPr>
                  </w:pPr>
                  <w:r>
                    <w:rPr>
                      <w:rFonts w:hint="eastAsia" w:eastAsiaTheme="minorEastAsia"/>
                    </w:rPr>
                    <w:t>20</w:t>
                  </w:r>
                </w:p>
              </w:tc>
              <w:tc>
                <w:tcPr>
                  <w:tcW w:w="822" w:type="pct"/>
                  <w:vAlign w:val="center"/>
                </w:tcPr>
                <w:p>
                  <w:pPr>
                    <w:pStyle w:val="60"/>
                    <w:adjustRightInd w:val="0"/>
                    <w:snapToGrid w:val="0"/>
                    <w:spacing w:line="240" w:lineRule="auto"/>
                    <w:rPr>
                      <w:rFonts w:eastAsiaTheme="minorEastAsia"/>
                      <w:szCs w:val="21"/>
                    </w:rPr>
                  </w:pPr>
                  <w:r>
                    <w:rPr>
                      <w:rFonts w:eastAsiaTheme="minorEastAsia"/>
                      <w:szCs w:val="21"/>
                    </w:rPr>
                    <w:t>40</w:t>
                  </w:r>
                </w:p>
              </w:tc>
              <w:tc>
                <w:tcPr>
                  <w:tcW w:w="609" w:type="pct"/>
                  <w:vAlign w:val="center"/>
                </w:tcPr>
                <w:p>
                  <w:pPr>
                    <w:pStyle w:val="60"/>
                    <w:adjustRightInd w:val="0"/>
                    <w:snapToGrid w:val="0"/>
                    <w:spacing w:line="240" w:lineRule="auto"/>
                    <w:rPr>
                      <w:rFonts w:eastAsiaTheme="minorEastAsia"/>
                      <w:szCs w:val="21"/>
                    </w:rPr>
                  </w:pPr>
                  <w:r>
                    <w:rPr>
                      <w:rFonts w:hint="eastAsia" w:eastAsiaTheme="minorEastAsia"/>
                      <w:szCs w:val="21"/>
                    </w:rPr>
                    <w:t>50.0</w:t>
                  </w:r>
                </w:p>
              </w:tc>
              <w:tc>
                <w:tcPr>
                  <w:tcW w:w="711" w:type="pct"/>
                  <w:vAlign w:val="center"/>
                </w:tcPr>
                <w:p>
                  <w:pPr>
                    <w:pStyle w:val="60"/>
                    <w:adjustRightInd w:val="0"/>
                    <w:snapToGrid w:val="0"/>
                    <w:spacing w:line="240" w:lineRule="auto"/>
                    <w:rPr>
                      <w:rFonts w:eastAsiaTheme="minorEastAsia"/>
                      <w:szCs w:val="21"/>
                    </w:rPr>
                  </w:pPr>
                  <w:r>
                    <w:rPr>
                      <w:rFonts w:eastAsiaTheme="minorEastAsia"/>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Align w:val="center"/>
                </w:tcPr>
                <w:p>
                  <w:pPr>
                    <w:pStyle w:val="60"/>
                    <w:adjustRightInd w:val="0"/>
                    <w:snapToGrid w:val="0"/>
                    <w:spacing w:line="240" w:lineRule="auto"/>
                    <w:rPr>
                      <w:rFonts w:eastAsiaTheme="minorEastAsia"/>
                      <w:szCs w:val="21"/>
                    </w:rPr>
                  </w:pPr>
                  <w:r>
                    <w:rPr>
                      <w:rFonts w:eastAsiaTheme="minorEastAsia"/>
                      <w:szCs w:val="21"/>
                    </w:rPr>
                    <w:t>3</w:t>
                  </w:r>
                </w:p>
              </w:tc>
              <w:tc>
                <w:tcPr>
                  <w:tcW w:w="542" w:type="pct"/>
                  <w:vAlign w:val="center"/>
                </w:tcPr>
                <w:p>
                  <w:pPr>
                    <w:pStyle w:val="60"/>
                    <w:adjustRightInd w:val="0"/>
                    <w:snapToGrid w:val="0"/>
                    <w:spacing w:line="240" w:lineRule="auto"/>
                    <w:rPr>
                      <w:rFonts w:eastAsiaTheme="minorEastAsia"/>
                      <w:szCs w:val="21"/>
                    </w:rPr>
                  </w:pPr>
                  <w:r>
                    <w:rPr>
                      <w:rFonts w:eastAsiaTheme="minorEastAsia"/>
                      <w:szCs w:val="21"/>
                    </w:rPr>
                    <w:t>PM</w:t>
                  </w:r>
                  <w:r>
                    <w:rPr>
                      <w:rFonts w:eastAsiaTheme="minorEastAsia"/>
                      <w:szCs w:val="21"/>
                      <w:vertAlign w:val="subscript"/>
                    </w:rPr>
                    <w:t>10</w:t>
                  </w:r>
                </w:p>
              </w:tc>
              <w:tc>
                <w:tcPr>
                  <w:tcW w:w="1099" w:type="pct"/>
                  <w:vMerge w:val="continue"/>
                  <w:vAlign w:val="center"/>
                </w:tcPr>
                <w:p>
                  <w:pPr>
                    <w:pStyle w:val="60"/>
                    <w:adjustRightInd w:val="0"/>
                    <w:snapToGrid w:val="0"/>
                    <w:spacing w:line="240" w:lineRule="auto"/>
                    <w:rPr>
                      <w:rFonts w:eastAsiaTheme="minorEastAsia"/>
                      <w:szCs w:val="21"/>
                    </w:rPr>
                  </w:pPr>
                </w:p>
              </w:tc>
              <w:tc>
                <w:tcPr>
                  <w:tcW w:w="822" w:type="pct"/>
                  <w:vAlign w:val="center"/>
                </w:tcPr>
                <w:p>
                  <w:pPr>
                    <w:pStyle w:val="60"/>
                    <w:adjustRightInd w:val="0"/>
                    <w:snapToGrid w:val="0"/>
                    <w:spacing w:line="240" w:lineRule="auto"/>
                    <w:rPr>
                      <w:rFonts w:eastAsiaTheme="minorEastAsia"/>
                      <w:szCs w:val="21"/>
                    </w:rPr>
                  </w:pPr>
                  <w:r>
                    <w:rPr>
                      <w:rFonts w:hint="eastAsia" w:eastAsiaTheme="minorEastAsia"/>
                    </w:rPr>
                    <w:t>54</w:t>
                  </w:r>
                </w:p>
              </w:tc>
              <w:tc>
                <w:tcPr>
                  <w:tcW w:w="822" w:type="pct"/>
                  <w:vAlign w:val="center"/>
                </w:tcPr>
                <w:p>
                  <w:pPr>
                    <w:pStyle w:val="60"/>
                    <w:adjustRightInd w:val="0"/>
                    <w:snapToGrid w:val="0"/>
                    <w:spacing w:line="240" w:lineRule="auto"/>
                    <w:rPr>
                      <w:rFonts w:eastAsiaTheme="minorEastAsia"/>
                      <w:szCs w:val="21"/>
                    </w:rPr>
                  </w:pPr>
                  <w:r>
                    <w:rPr>
                      <w:rFonts w:eastAsiaTheme="minorEastAsia"/>
                      <w:szCs w:val="21"/>
                    </w:rPr>
                    <w:t>70</w:t>
                  </w:r>
                </w:p>
              </w:tc>
              <w:tc>
                <w:tcPr>
                  <w:tcW w:w="609" w:type="pct"/>
                  <w:vAlign w:val="center"/>
                </w:tcPr>
                <w:p>
                  <w:pPr>
                    <w:pStyle w:val="60"/>
                    <w:adjustRightInd w:val="0"/>
                    <w:snapToGrid w:val="0"/>
                    <w:spacing w:line="240" w:lineRule="auto"/>
                    <w:rPr>
                      <w:rFonts w:eastAsiaTheme="minorEastAsia"/>
                      <w:szCs w:val="21"/>
                    </w:rPr>
                  </w:pPr>
                  <w:r>
                    <w:rPr>
                      <w:rFonts w:hint="eastAsia" w:eastAsiaTheme="minorEastAsia"/>
                      <w:szCs w:val="21"/>
                    </w:rPr>
                    <w:t>77.1</w:t>
                  </w:r>
                </w:p>
              </w:tc>
              <w:tc>
                <w:tcPr>
                  <w:tcW w:w="711" w:type="pct"/>
                  <w:vAlign w:val="center"/>
                </w:tcPr>
                <w:p>
                  <w:pPr>
                    <w:pStyle w:val="60"/>
                    <w:adjustRightInd w:val="0"/>
                    <w:snapToGrid w:val="0"/>
                    <w:spacing w:line="240" w:lineRule="auto"/>
                    <w:rPr>
                      <w:rFonts w:eastAsiaTheme="minorEastAsia"/>
                      <w:szCs w:val="21"/>
                    </w:rPr>
                  </w:pPr>
                  <w:r>
                    <w:rPr>
                      <w:rFonts w:eastAsiaTheme="minorEastAsia"/>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Align w:val="center"/>
                </w:tcPr>
                <w:p>
                  <w:pPr>
                    <w:pStyle w:val="60"/>
                    <w:adjustRightInd w:val="0"/>
                    <w:snapToGrid w:val="0"/>
                    <w:spacing w:line="240" w:lineRule="auto"/>
                    <w:rPr>
                      <w:rFonts w:eastAsiaTheme="minorEastAsia"/>
                      <w:szCs w:val="21"/>
                    </w:rPr>
                  </w:pPr>
                  <w:r>
                    <w:rPr>
                      <w:rFonts w:eastAsiaTheme="minorEastAsia"/>
                      <w:szCs w:val="21"/>
                    </w:rPr>
                    <w:t>4</w:t>
                  </w:r>
                </w:p>
              </w:tc>
              <w:tc>
                <w:tcPr>
                  <w:tcW w:w="542" w:type="pct"/>
                  <w:vAlign w:val="center"/>
                </w:tcPr>
                <w:p>
                  <w:pPr>
                    <w:pStyle w:val="60"/>
                    <w:adjustRightInd w:val="0"/>
                    <w:snapToGrid w:val="0"/>
                    <w:spacing w:line="240" w:lineRule="auto"/>
                    <w:rPr>
                      <w:rFonts w:eastAsiaTheme="minorEastAsia"/>
                      <w:szCs w:val="21"/>
                    </w:rPr>
                  </w:pPr>
                  <w:r>
                    <w:rPr>
                      <w:rFonts w:eastAsiaTheme="minorEastAsia"/>
                      <w:szCs w:val="21"/>
                    </w:rPr>
                    <w:t>PM</w:t>
                  </w:r>
                  <w:r>
                    <w:rPr>
                      <w:rFonts w:eastAsiaTheme="minorEastAsia"/>
                      <w:szCs w:val="21"/>
                      <w:vertAlign w:val="subscript"/>
                    </w:rPr>
                    <w:t>2.5</w:t>
                  </w:r>
                </w:p>
              </w:tc>
              <w:tc>
                <w:tcPr>
                  <w:tcW w:w="1099" w:type="pct"/>
                  <w:vMerge w:val="continue"/>
                  <w:vAlign w:val="center"/>
                </w:tcPr>
                <w:p>
                  <w:pPr>
                    <w:pStyle w:val="60"/>
                    <w:adjustRightInd w:val="0"/>
                    <w:snapToGrid w:val="0"/>
                    <w:spacing w:line="240" w:lineRule="auto"/>
                    <w:rPr>
                      <w:rFonts w:eastAsiaTheme="minorEastAsia"/>
                      <w:szCs w:val="21"/>
                    </w:rPr>
                  </w:pPr>
                </w:p>
              </w:tc>
              <w:tc>
                <w:tcPr>
                  <w:tcW w:w="822" w:type="pct"/>
                  <w:vAlign w:val="center"/>
                </w:tcPr>
                <w:p>
                  <w:pPr>
                    <w:pStyle w:val="60"/>
                    <w:adjustRightInd w:val="0"/>
                    <w:snapToGrid w:val="0"/>
                    <w:spacing w:line="240" w:lineRule="auto"/>
                    <w:rPr>
                      <w:rFonts w:eastAsiaTheme="minorEastAsia"/>
                      <w:szCs w:val="21"/>
                    </w:rPr>
                  </w:pPr>
                  <w:r>
                    <w:rPr>
                      <w:rFonts w:hint="eastAsia" w:eastAsiaTheme="minorEastAsia"/>
                    </w:rPr>
                    <w:t>27</w:t>
                  </w:r>
                </w:p>
              </w:tc>
              <w:tc>
                <w:tcPr>
                  <w:tcW w:w="822" w:type="pct"/>
                  <w:vAlign w:val="center"/>
                </w:tcPr>
                <w:p>
                  <w:pPr>
                    <w:pStyle w:val="60"/>
                    <w:adjustRightInd w:val="0"/>
                    <w:snapToGrid w:val="0"/>
                    <w:spacing w:line="240" w:lineRule="auto"/>
                    <w:rPr>
                      <w:rFonts w:eastAsiaTheme="minorEastAsia"/>
                      <w:szCs w:val="21"/>
                    </w:rPr>
                  </w:pPr>
                  <w:r>
                    <w:rPr>
                      <w:rFonts w:eastAsiaTheme="minorEastAsia"/>
                      <w:szCs w:val="21"/>
                    </w:rPr>
                    <w:t>35</w:t>
                  </w:r>
                </w:p>
              </w:tc>
              <w:tc>
                <w:tcPr>
                  <w:tcW w:w="609" w:type="pct"/>
                  <w:vAlign w:val="center"/>
                </w:tcPr>
                <w:p>
                  <w:pPr>
                    <w:pStyle w:val="60"/>
                    <w:adjustRightInd w:val="0"/>
                    <w:snapToGrid w:val="0"/>
                    <w:spacing w:line="240" w:lineRule="auto"/>
                    <w:rPr>
                      <w:rFonts w:eastAsiaTheme="minorEastAsia"/>
                      <w:szCs w:val="21"/>
                    </w:rPr>
                  </w:pPr>
                  <w:r>
                    <w:rPr>
                      <w:rFonts w:hint="eastAsia" w:eastAsiaTheme="minorEastAsia"/>
                      <w:szCs w:val="21"/>
                    </w:rPr>
                    <w:t>77.1</w:t>
                  </w:r>
                </w:p>
              </w:tc>
              <w:tc>
                <w:tcPr>
                  <w:tcW w:w="711" w:type="pct"/>
                  <w:vAlign w:val="center"/>
                </w:tcPr>
                <w:p>
                  <w:pPr>
                    <w:pStyle w:val="60"/>
                    <w:adjustRightInd w:val="0"/>
                    <w:snapToGrid w:val="0"/>
                    <w:spacing w:line="240" w:lineRule="auto"/>
                    <w:rPr>
                      <w:rFonts w:eastAsiaTheme="minorEastAsia"/>
                      <w:szCs w:val="21"/>
                    </w:rPr>
                  </w:pPr>
                  <w:r>
                    <w:rPr>
                      <w:rFonts w:eastAsiaTheme="minorEastAsia"/>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Align w:val="center"/>
                </w:tcPr>
                <w:p>
                  <w:pPr>
                    <w:pStyle w:val="60"/>
                    <w:adjustRightInd w:val="0"/>
                    <w:snapToGrid w:val="0"/>
                    <w:spacing w:line="240" w:lineRule="auto"/>
                    <w:rPr>
                      <w:rFonts w:eastAsiaTheme="minorEastAsia"/>
                      <w:szCs w:val="21"/>
                    </w:rPr>
                  </w:pPr>
                  <w:r>
                    <w:rPr>
                      <w:rFonts w:eastAsiaTheme="minorEastAsia"/>
                      <w:szCs w:val="21"/>
                    </w:rPr>
                    <w:t>5</w:t>
                  </w:r>
                </w:p>
              </w:tc>
              <w:tc>
                <w:tcPr>
                  <w:tcW w:w="542" w:type="pct"/>
                  <w:vAlign w:val="center"/>
                </w:tcPr>
                <w:p>
                  <w:pPr>
                    <w:pStyle w:val="60"/>
                    <w:adjustRightInd w:val="0"/>
                    <w:snapToGrid w:val="0"/>
                    <w:spacing w:line="240" w:lineRule="auto"/>
                    <w:rPr>
                      <w:rFonts w:eastAsiaTheme="minorEastAsia"/>
                      <w:szCs w:val="21"/>
                    </w:rPr>
                  </w:pPr>
                  <w:r>
                    <w:rPr>
                      <w:rFonts w:eastAsiaTheme="minorEastAsia"/>
                      <w:szCs w:val="21"/>
                    </w:rPr>
                    <w:t>O</w:t>
                  </w:r>
                  <w:r>
                    <w:rPr>
                      <w:rFonts w:eastAsiaTheme="minorEastAsia"/>
                      <w:szCs w:val="21"/>
                      <w:vertAlign w:val="subscript"/>
                    </w:rPr>
                    <w:t>3</w:t>
                  </w:r>
                </w:p>
              </w:tc>
              <w:tc>
                <w:tcPr>
                  <w:tcW w:w="1099" w:type="pct"/>
                  <w:vMerge w:val="restart"/>
                  <w:vAlign w:val="center"/>
                </w:tcPr>
                <w:p>
                  <w:pPr>
                    <w:pStyle w:val="60"/>
                    <w:adjustRightInd w:val="0"/>
                    <w:snapToGrid w:val="0"/>
                    <w:spacing w:line="240" w:lineRule="auto"/>
                    <w:rPr>
                      <w:rFonts w:eastAsiaTheme="minorEastAsia"/>
                      <w:szCs w:val="21"/>
                    </w:rPr>
                  </w:pPr>
                  <w:r>
                    <w:rPr>
                      <w:rFonts w:eastAsiaTheme="minorEastAsia"/>
                      <w:szCs w:val="21"/>
                    </w:rPr>
                    <w:t>百分位数日平均或8h平均质量浓度</w:t>
                  </w:r>
                </w:p>
              </w:tc>
              <w:tc>
                <w:tcPr>
                  <w:tcW w:w="822" w:type="pct"/>
                  <w:vAlign w:val="center"/>
                </w:tcPr>
                <w:p>
                  <w:pPr>
                    <w:pStyle w:val="60"/>
                    <w:adjustRightInd w:val="0"/>
                    <w:snapToGrid w:val="0"/>
                    <w:spacing w:line="240" w:lineRule="auto"/>
                    <w:rPr>
                      <w:rFonts w:eastAsiaTheme="minorEastAsia"/>
                      <w:szCs w:val="21"/>
                    </w:rPr>
                  </w:pPr>
                  <w:r>
                    <w:rPr>
                      <w:rFonts w:hint="eastAsia" w:eastAsiaTheme="minorEastAsia"/>
                    </w:rPr>
                    <w:t>145</w:t>
                  </w:r>
                </w:p>
              </w:tc>
              <w:tc>
                <w:tcPr>
                  <w:tcW w:w="822" w:type="pct"/>
                  <w:vAlign w:val="center"/>
                </w:tcPr>
                <w:p>
                  <w:pPr>
                    <w:pStyle w:val="60"/>
                    <w:adjustRightInd w:val="0"/>
                    <w:snapToGrid w:val="0"/>
                    <w:spacing w:line="240" w:lineRule="auto"/>
                    <w:rPr>
                      <w:rFonts w:eastAsiaTheme="minorEastAsia"/>
                      <w:szCs w:val="21"/>
                    </w:rPr>
                  </w:pPr>
                  <w:r>
                    <w:rPr>
                      <w:rFonts w:eastAsiaTheme="minorEastAsia"/>
                      <w:szCs w:val="21"/>
                    </w:rPr>
                    <w:t>160</w:t>
                  </w:r>
                </w:p>
              </w:tc>
              <w:tc>
                <w:tcPr>
                  <w:tcW w:w="609" w:type="pct"/>
                  <w:vAlign w:val="center"/>
                </w:tcPr>
                <w:p>
                  <w:pPr>
                    <w:pStyle w:val="60"/>
                    <w:adjustRightInd w:val="0"/>
                    <w:snapToGrid w:val="0"/>
                    <w:spacing w:line="240" w:lineRule="auto"/>
                    <w:rPr>
                      <w:rFonts w:eastAsiaTheme="minorEastAsia"/>
                      <w:szCs w:val="21"/>
                    </w:rPr>
                  </w:pPr>
                  <w:r>
                    <w:rPr>
                      <w:rFonts w:hint="eastAsia" w:eastAsiaTheme="minorEastAsia"/>
                      <w:szCs w:val="21"/>
                    </w:rPr>
                    <w:t>90.6</w:t>
                  </w:r>
                </w:p>
              </w:tc>
              <w:tc>
                <w:tcPr>
                  <w:tcW w:w="711" w:type="pct"/>
                  <w:vAlign w:val="center"/>
                </w:tcPr>
                <w:p>
                  <w:pPr>
                    <w:pStyle w:val="60"/>
                    <w:adjustRightInd w:val="0"/>
                    <w:snapToGrid w:val="0"/>
                    <w:spacing w:line="240" w:lineRule="auto"/>
                    <w:rPr>
                      <w:rFonts w:eastAsiaTheme="minorEastAsia"/>
                      <w:szCs w:val="21"/>
                    </w:rPr>
                  </w:pPr>
                  <w:r>
                    <w:rPr>
                      <w:rFonts w:eastAsiaTheme="minorEastAsia"/>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4" w:type="pct"/>
                  <w:vAlign w:val="center"/>
                </w:tcPr>
                <w:p>
                  <w:pPr>
                    <w:pStyle w:val="60"/>
                    <w:adjustRightInd w:val="0"/>
                    <w:snapToGrid w:val="0"/>
                    <w:spacing w:line="240" w:lineRule="auto"/>
                    <w:rPr>
                      <w:rFonts w:eastAsiaTheme="minorEastAsia"/>
                      <w:szCs w:val="21"/>
                    </w:rPr>
                  </w:pPr>
                  <w:r>
                    <w:rPr>
                      <w:rFonts w:eastAsiaTheme="minorEastAsia"/>
                      <w:szCs w:val="21"/>
                    </w:rPr>
                    <w:t>6</w:t>
                  </w:r>
                </w:p>
              </w:tc>
              <w:tc>
                <w:tcPr>
                  <w:tcW w:w="542" w:type="pct"/>
                  <w:vAlign w:val="center"/>
                </w:tcPr>
                <w:p>
                  <w:pPr>
                    <w:pStyle w:val="60"/>
                    <w:adjustRightInd w:val="0"/>
                    <w:snapToGrid w:val="0"/>
                    <w:spacing w:line="240" w:lineRule="auto"/>
                    <w:rPr>
                      <w:rFonts w:eastAsiaTheme="minorEastAsia"/>
                      <w:szCs w:val="21"/>
                    </w:rPr>
                  </w:pPr>
                  <w:r>
                    <w:rPr>
                      <w:rFonts w:eastAsiaTheme="minorEastAsia"/>
                      <w:szCs w:val="21"/>
                    </w:rPr>
                    <w:t>CO</w:t>
                  </w:r>
                </w:p>
              </w:tc>
              <w:tc>
                <w:tcPr>
                  <w:tcW w:w="1099" w:type="pct"/>
                  <w:vMerge w:val="continue"/>
                  <w:vAlign w:val="center"/>
                </w:tcPr>
                <w:p>
                  <w:pPr>
                    <w:pStyle w:val="60"/>
                    <w:adjustRightInd w:val="0"/>
                    <w:snapToGrid w:val="0"/>
                    <w:spacing w:line="240" w:lineRule="auto"/>
                    <w:rPr>
                      <w:rFonts w:eastAsiaTheme="minorEastAsia"/>
                      <w:szCs w:val="21"/>
                    </w:rPr>
                  </w:pPr>
                </w:p>
              </w:tc>
              <w:tc>
                <w:tcPr>
                  <w:tcW w:w="822" w:type="pct"/>
                  <w:vAlign w:val="center"/>
                </w:tcPr>
                <w:p>
                  <w:pPr>
                    <w:pStyle w:val="60"/>
                    <w:adjustRightInd w:val="0"/>
                    <w:snapToGrid w:val="0"/>
                    <w:spacing w:line="240" w:lineRule="auto"/>
                    <w:rPr>
                      <w:rFonts w:eastAsiaTheme="minorEastAsia"/>
                      <w:szCs w:val="21"/>
                    </w:rPr>
                  </w:pPr>
                  <w:r>
                    <w:rPr>
                      <w:rFonts w:hint="eastAsia" w:eastAsiaTheme="minorEastAsia"/>
                      <w:szCs w:val="21"/>
                    </w:rPr>
                    <w:t>1400</w:t>
                  </w:r>
                </w:p>
              </w:tc>
              <w:tc>
                <w:tcPr>
                  <w:tcW w:w="822" w:type="pct"/>
                  <w:vAlign w:val="center"/>
                </w:tcPr>
                <w:p>
                  <w:pPr>
                    <w:pStyle w:val="60"/>
                    <w:adjustRightInd w:val="0"/>
                    <w:snapToGrid w:val="0"/>
                    <w:spacing w:line="240" w:lineRule="auto"/>
                    <w:rPr>
                      <w:rFonts w:eastAsiaTheme="minorEastAsia"/>
                      <w:szCs w:val="21"/>
                    </w:rPr>
                  </w:pPr>
                  <w:r>
                    <w:rPr>
                      <w:rFonts w:eastAsiaTheme="minorEastAsia"/>
                      <w:szCs w:val="21"/>
                    </w:rPr>
                    <w:t>4000</w:t>
                  </w:r>
                </w:p>
              </w:tc>
              <w:tc>
                <w:tcPr>
                  <w:tcW w:w="609" w:type="pct"/>
                  <w:vAlign w:val="center"/>
                </w:tcPr>
                <w:p>
                  <w:pPr>
                    <w:pStyle w:val="60"/>
                    <w:adjustRightInd w:val="0"/>
                    <w:snapToGrid w:val="0"/>
                    <w:spacing w:line="240" w:lineRule="auto"/>
                    <w:rPr>
                      <w:rFonts w:eastAsiaTheme="minorEastAsia"/>
                      <w:szCs w:val="21"/>
                    </w:rPr>
                  </w:pPr>
                  <w:r>
                    <w:rPr>
                      <w:rFonts w:hint="eastAsia" w:eastAsiaTheme="minorEastAsia"/>
                      <w:szCs w:val="21"/>
                    </w:rPr>
                    <w:t>35.0</w:t>
                  </w:r>
                </w:p>
              </w:tc>
              <w:tc>
                <w:tcPr>
                  <w:tcW w:w="711" w:type="pct"/>
                  <w:vAlign w:val="center"/>
                </w:tcPr>
                <w:p>
                  <w:pPr>
                    <w:pStyle w:val="60"/>
                    <w:adjustRightInd w:val="0"/>
                    <w:snapToGrid w:val="0"/>
                    <w:spacing w:line="240" w:lineRule="auto"/>
                    <w:rPr>
                      <w:rFonts w:eastAsiaTheme="minorEastAsia"/>
                      <w:szCs w:val="21"/>
                    </w:rPr>
                  </w:pPr>
                  <w:r>
                    <w:rPr>
                      <w:rFonts w:eastAsiaTheme="minorEastAsia"/>
                      <w:szCs w:val="21"/>
                    </w:rPr>
                    <w:t>达标</w:t>
                  </w:r>
                </w:p>
              </w:tc>
            </w:tr>
          </w:tbl>
          <w:p>
            <w:pPr>
              <w:pStyle w:val="31"/>
              <w:spacing w:beforeLines="50"/>
              <w:ind w:firstLine="482"/>
              <w:rPr>
                <w:rFonts w:eastAsiaTheme="minorEastAsia"/>
                <w:b/>
                <w:color w:val="auto"/>
                <w:kern w:val="0"/>
                <w:szCs w:val="24"/>
              </w:rPr>
            </w:pPr>
            <w:r>
              <w:rPr>
                <w:rFonts w:hint="eastAsia" w:eastAsiaTheme="minorEastAsia"/>
                <w:b/>
                <w:color w:val="auto"/>
                <w:kern w:val="0"/>
              </w:rPr>
              <w:t>2、土壤环</w:t>
            </w:r>
            <w:r>
              <w:rPr>
                <w:rFonts w:eastAsiaTheme="minorEastAsia"/>
                <w:b/>
                <w:color w:val="auto"/>
                <w:kern w:val="0"/>
                <w:szCs w:val="24"/>
              </w:rPr>
              <w:t>境</w:t>
            </w:r>
          </w:p>
          <w:p>
            <w:pPr>
              <w:pStyle w:val="25"/>
              <w:ind w:firstLine="480"/>
              <w:rPr>
                <w:rFonts w:cs="宋体"/>
              </w:rPr>
            </w:pPr>
            <w:r>
              <w:rPr>
                <w:rStyle w:val="47"/>
                <w:rFonts w:hint="default" w:ascii="Times New Roman"/>
                <w:color w:val="auto"/>
              </w:rPr>
              <w:t>本项目属于</w:t>
            </w:r>
            <w:r>
              <w:rPr>
                <w:rStyle w:val="47"/>
                <w:rFonts w:hint="default" w:ascii="Times New Roman" w:hAnsi="Times New Roman"/>
                <w:color w:val="auto"/>
              </w:rPr>
              <w:t>“</w:t>
            </w:r>
            <w:r>
              <w:rPr>
                <w:rStyle w:val="47"/>
                <w:rFonts w:hint="default" w:ascii="Times New Roman"/>
                <w:color w:val="auto"/>
              </w:rPr>
              <w:t>电力热力燃气及水生产和供应业</w:t>
            </w:r>
            <w:r>
              <w:rPr>
                <w:rStyle w:val="46"/>
                <w:color w:val="auto"/>
              </w:rPr>
              <w:t>---</w:t>
            </w:r>
            <w:r>
              <w:rPr>
                <w:rStyle w:val="47"/>
                <w:rFonts w:hint="default" w:ascii="Times New Roman"/>
                <w:color w:val="auto"/>
              </w:rPr>
              <w:t>生物质热风炉</w:t>
            </w:r>
            <w:r>
              <w:rPr>
                <w:rStyle w:val="47"/>
                <w:rFonts w:hint="default" w:ascii="Times New Roman" w:hAnsi="Times New Roman"/>
                <w:color w:val="auto"/>
              </w:rPr>
              <w:t>”</w:t>
            </w:r>
            <w:r>
              <w:rPr>
                <w:rStyle w:val="47"/>
                <w:rFonts w:hint="default" w:ascii="Times New Roman"/>
                <w:color w:val="auto"/>
              </w:rPr>
              <w:t>，根据《环境影响评价技术导则</w:t>
            </w:r>
            <w:r>
              <w:rPr>
                <w:rStyle w:val="47"/>
                <w:rFonts w:hint="default" w:ascii="Times New Roman" w:hAnsi="Times New Roman"/>
                <w:color w:val="auto"/>
              </w:rPr>
              <w:t xml:space="preserve"> </w:t>
            </w:r>
            <w:r>
              <w:rPr>
                <w:rStyle w:val="47"/>
                <w:rFonts w:hint="default" w:ascii="Times New Roman"/>
                <w:color w:val="auto"/>
              </w:rPr>
              <w:t>土壤环境（试行）》（</w:t>
            </w:r>
            <w:r>
              <w:rPr>
                <w:rStyle w:val="46"/>
                <w:color w:val="auto"/>
              </w:rPr>
              <w:t>HJ964-2018</w:t>
            </w:r>
            <w:r>
              <w:rPr>
                <w:rStyle w:val="47"/>
                <w:rFonts w:hint="default" w:ascii="Times New Roman"/>
                <w:color w:val="auto"/>
              </w:rPr>
              <w:t>）附录</w:t>
            </w:r>
            <w:r>
              <w:rPr>
                <w:rStyle w:val="46"/>
                <w:color w:val="auto"/>
              </w:rPr>
              <w:t>A</w:t>
            </w:r>
            <w:r>
              <w:rPr>
                <w:rStyle w:val="47"/>
                <w:rFonts w:hint="default" w:ascii="Times New Roman"/>
                <w:color w:val="auto"/>
              </w:rPr>
              <w:t>，本项目土壤环境影响评价项目类别属于</w:t>
            </w:r>
            <w:r>
              <w:rPr>
                <w:rStyle w:val="61"/>
                <w:rFonts w:hAnsi="宋体"/>
                <w:b w:val="0"/>
                <w:color w:val="auto"/>
                <w:sz w:val="24"/>
                <w:szCs w:val="24"/>
              </w:rPr>
              <w:t>Ⅳ</w:t>
            </w:r>
            <w:r>
              <w:rPr>
                <w:rStyle w:val="47"/>
                <w:rFonts w:hint="default" w:ascii="Times New Roman"/>
                <w:color w:val="auto"/>
              </w:rPr>
              <w:t>类项</w:t>
            </w:r>
            <w:r>
              <w:rPr>
                <w:rStyle w:val="47"/>
                <w:rFonts w:hint="default"/>
                <w:color w:val="auto"/>
              </w:rPr>
              <w:t>目，无需开展土壤环境影响评价。</w:t>
            </w:r>
          </w:p>
          <w:p>
            <w:pPr>
              <w:pStyle w:val="25"/>
              <w:ind w:firstLine="482"/>
              <w:rPr>
                <w:b/>
              </w:rPr>
            </w:pPr>
            <w:r>
              <w:rPr>
                <w:rFonts w:hint="eastAsia"/>
                <w:b/>
              </w:rPr>
              <w:t>3、地下水环境</w:t>
            </w:r>
          </w:p>
          <w:p>
            <w:pPr>
              <w:pStyle w:val="25"/>
              <w:ind w:firstLine="480"/>
              <w:rPr>
                <w:rFonts w:cs="宋体"/>
              </w:rPr>
            </w:pPr>
            <w:r>
              <w:rPr>
                <w:rStyle w:val="47"/>
                <w:rFonts w:hint="default"/>
                <w:color w:val="auto"/>
              </w:rPr>
              <w:t>本项目属于“电力热力燃气及水生产和供应业</w:t>
            </w:r>
            <w:r>
              <w:rPr>
                <w:rStyle w:val="46"/>
                <w:color w:val="auto"/>
              </w:rPr>
              <w:t>---</w:t>
            </w:r>
            <w:r>
              <w:rPr>
                <w:rStyle w:val="47"/>
                <w:rFonts w:hint="default"/>
                <w:color w:val="auto"/>
              </w:rPr>
              <w:t>生物质热风炉”，根据《环境影响评价技术导则 地下水环境》（</w:t>
            </w:r>
            <w:r>
              <w:rPr>
                <w:rStyle w:val="46"/>
                <w:color w:val="auto"/>
              </w:rPr>
              <w:t>HJ610-2016</w:t>
            </w:r>
            <w:r>
              <w:rPr>
                <w:rStyle w:val="47"/>
                <w:rFonts w:hint="default"/>
                <w:color w:val="auto"/>
              </w:rPr>
              <w:t>）附录</w:t>
            </w:r>
            <w:r>
              <w:rPr>
                <w:rStyle w:val="46"/>
                <w:color w:val="auto"/>
              </w:rPr>
              <w:t>A</w:t>
            </w:r>
            <w:r>
              <w:rPr>
                <w:rStyle w:val="47"/>
                <w:rFonts w:hint="default"/>
                <w:color w:val="auto"/>
              </w:rPr>
              <w:t>，本项目地下水环境影响评价行业分类属于Ⅳ类项目，无需进行地下水环境影响评价。</w:t>
            </w:r>
          </w:p>
          <w:p>
            <w:pPr>
              <w:pStyle w:val="31"/>
              <w:spacing w:beforeLines="50"/>
              <w:ind w:firstLine="480"/>
              <w:rPr>
                <w:rFonts w:eastAsiaTheme="minorEastAsia"/>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800" w:type="dxa"/>
            <w:vAlign w:val="center"/>
          </w:tcPr>
          <w:p>
            <w:pPr>
              <w:adjustRightInd w:val="0"/>
              <w:snapToGrid w:val="0"/>
              <w:jc w:val="center"/>
              <w:rPr>
                <w:rFonts w:eastAsiaTheme="minorEastAsia"/>
                <w:kern w:val="0"/>
                <w:szCs w:val="21"/>
              </w:rPr>
            </w:pPr>
            <w:r>
              <w:rPr>
                <w:rFonts w:eastAsiaTheme="minorEastAsia"/>
                <w:kern w:val="0"/>
                <w:szCs w:val="21"/>
              </w:rPr>
              <w:t>环境</w:t>
            </w:r>
          </w:p>
          <w:p>
            <w:pPr>
              <w:adjustRightInd w:val="0"/>
              <w:snapToGrid w:val="0"/>
              <w:jc w:val="center"/>
              <w:rPr>
                <w:rFonts w:eastAsiaTheme="minorEastAsia"/>
                <w:kern w:val="0"/>
                <w:szCs w:val="21"/>
              </w:rPr>
            </w:pPr>
            <w:r>
              <w:rPr>
                <w:rFonts w:eastAsiaTheme="minorEastAsia"/>
                <w:kern w:val="0"/>
                <w:szCs w:val="21"/>
              </w:rPr>
              <w:t>保护</w:t>
            </w:r>
          </w:p>
          <w:p>
            <w:pPr>
              <w:adjustRightInd w:val="0"/>
              <w:snapToGrid w:val="0"/>
              <w:jc w:val="center"/>
              <w:rPr>
                <w:rFonts w:eastAsiaTheme="minorEastAsia"/>
                <w:kern w:val="0"/>
                <w:szCs w:val="21"/>
              </w:rPr>
            </w:pPr>
            <w:r>
              <w:rPr>
                <w:rFonts w:eastAsiaTheme="minorEastAsia"/>
                <w:kern w:val="0"/>
                <w:szCs w:val="21"/>
              </w:rPr>
              <w:t>目标</w:t>
            </w:r>
          </w:p>
        </w:tc>
        <w:tc>
          <w:tcPr>
            <w:tcW w:w="8190" w:type="dxa"/>
            <w:vAlign w:val="center"/>
          </w:tcPr>
          <w:p>
            <w:pPr>
              <w:pStyle w:val="31"/>
              <w:ind w:firstLine="480"/>
              <w:rPr>
                <w:rFonts w:eastAsiaTheme="minorEastAsia"/>
                <w:color w:val="auto"/>
              </w:rPr>
            </w:pPr>
            <w:r>
              <w:rPr>
                <w:rFonts w:eastAsiaTheme="minorEastAsia"/>
                <w:color w:val="auto"/>
              </w:rPr>
              <w:t>经调查，项目厂界外500m范围内无集中式饮用水源和热水、矿泉水、温泉等特殊地下水资源，环境保护目标见下表。环境保护目标见附图3。</w:t>
            </w:r>
          </w:p>
          <w:p>
            <w:pPr>
              <w:pStyle w:val="36"/>
              <w:spacing w:before="96" w:after="24"/>
              <w:rPr>
                <w:rFonts w:eastAsiaTheme="minorEastAsia"/>
              </w:rPr>
            </w:pPr>
            <w:r>
              <w:rPr>
                <w:rFonts w:eastAsiaTheme="minorEastAsia"/>
              </w:rPr>
              <w:t>表</w:t>
            </w:r>
            <w:r>
              <w:rPr>
                <w:rFonts w:hint="eastAsia" w:eastAsiaTheme="minorEastAsia"/>
              </w:rPr>
              <w:t>9</w:t>
            </w:r>
            <w:r>
              <w:rPr>
                <w:rFonts w:eastAsiaTheme="minorEastAsia"/>
              </w:rPr>
              <w:t xml:space="preserve">    本项目环境保护目标一览表</w:t>
            </w:r>
          </w:p>
          <w:tbl>
            <w:tblPr>
              <w:tblStyle w:val="1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68"/>
              <w:gridCol w:w="758"/>
              <w:gridCol w:w="1938"/>
              <w:gridCol w:w="957"/>
              <w:gridCol w:w="647"/>
              <w:gridCol w:w="1883"/>
              <w:gridCol w:w="483"/>
              <w:gridCol w:w="4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blHeader/>
              </w:trPr>
              <w:tc>
                <w:tcPr>
                  <w:tcW w:w="544" w:type="pct"/>
                  <w:vAlign w:val="center"/>
                </w:tcPr>
                <w:p>
                  <w:pPr>
                    <w:pStyle w:val="60"/>
                    <w:rPr>
                      <w:rFonts w:eastAsiaTheme="minorEastAsia"/>
                    </w:rPr>
                  </w:pPr>
                  <w:r>
                    <w:rPr>
                      <w:rFonts w:eastAsiaTheme="minorEastAsia"/>
                    </w:rPr>
                    <w:t>环境要素</w:t>
                  </w:r>
                </w:p>
              </w:tc>
              <w:tc>
                <w:tcPr>
                  <w:tcW w:w="475" w:type="pct"/>
                  <w:vAlign w:val="center"/>
                </w:tcPr>
                <w:p>
                  <w:pPr>
                    <w:pStyle w:val="60"/>
                    <w:rPr>
                      <w:rFonts w:eastAsiaTheme="minorEastAsia"/>
                    </w:rPr>
                  </w:pPr>
                  <w:r>
                    <w:rPr>
                      <w:rFonts w:eastAsiaTheme="minorEastAsia"/>
                    </w:rPr>
                    <w:t>名称</w:t>
                  </w:r>
                </w:p>
              </w:tc>
              <w:tc>
                <w:tcPr>
                  <w:tcW w:w="1215" w:type="pct"/>
                  <w:vAlign w:val="center"/>
                </w:tcPr>
                <w:p>
                  <w:pPr>
                    <w:pStyle w:val="60"/>
                    <w:rPr>
                      <w:rFonts w:eastAsiaTheme="minorEastAsia"/>
                    </w:rPr>
                  </w:pPr>
                  <w:r>
                    <w:rPr>
                      <w:rFonts w:eastAsiaTheme="minorEastAsia"/>
                    </w:rPr>
                    <w:t>坐标</w:t>
                  </w:r>
                </w:p>
              </w:tc>
              <w:tc>
                <w:tcPr>
                  <w:tcW w:w="600" w:type="pct"/>
                  <w:vAlign w:val="center"/>
                </w:tcPr>
                <w:p>
                  <w:pPr>
                    <w:pStyle w:val="60"/>
                    <w:rPr>
                      <w:rFonts w:eastAsiaTheme="minorEastAsia"/>
                    </w:rPr>
                  </w:pPr>
                  <w:r>
                    <w:rPr>
                      <w:rFonts w:eastAsiaTheme="minorEastAsia"/>
                    </w:rPr>
                    <w:t>保护对象</w:t>
                  </w:r>
                </w:p>
              </w:tc>
              <w:tc>
                <w:tcPr>
                  <w:tcW w:w="406" w:type="pct"/>
                  <w:vAlign w:val="center"/>
                </w:tcPr>
                <w:p>
                  <w:pPr>
                    <w:pStyle w:val="60"/>
                    <w:rPr>
                      <w:rFonts w:eastAsiaTheme="minorEastAsia"/>
                    </w:rPr>
                  </w:pPr>
                  <w:r>
                    <w:rPr>
                      <w:rFonts w:eastAsiaTheme="minorEastAsia"/>
                    </w:rPr>
                    <w:t>人数（人）</w:t>
                  </w:r>
                </w:p>
              </w:tc>
              <w:tc>
                <w:tcPr>
                  <w:tcW w:w="1181" w:type="pct"/>
                  <w:vAlign w:val="center"/>
                </w:tcPr>
                <w:p>
                  <w:pPr>
                    <w:pStyle w:val="60"/>
                    <w:rPr>
                      <w:rFonts w:eastAsiaTheme="minorEastAsia"/>
                    </w:rPr>
                  </w:pPr>
                  <w:r>
                    <w:rPr>
                      <w:rFonts w:eastAsiaTheme="minorEastAsia"/>
                    </w:rPr>
                    <w:t>环境功能区</w:t>
                  </w:r>
                </w:p>
              </w:tc>
              <w:tc>
                <w:tcPr>
                  <w:tcW w:w="303" w:type="pct"/>
                  <w:vAlign w:val="center"/>
                </w:tcPr>
                <w:p>
                  <w:pPr>
                    <w:pStyle w:val="60"/>
                    <w:rPr>
                      <w:rFonts w:eastAsiaTheme="minorEastAsia"/>
                    </w:rPr>
                  </w:pPr>
                  <w:r>
                    <w:rPr>
                      <w:rFonts w:eastAsiaTheme="minorEastAsia"/>
                    </w:rPr>
                    <w:t>相对厂址方位</w:t>
                  </w:r>
                </w:p>
              </w:tc>
              <w:tc>
                <w:tcPr>
                  <w:tcW w:w="276" w:type="pct"/>
                  <w:vAlign w:val="center"/>
                </w:tcPr>
                <w:p>
                  <w:pPr>
                    <w:pStyle w:val="60"/>
                    <w:rPr>
                      <w:rFonts w:eastAsiaTheme="minorEastAsia"/>
                    </w:rPr>
                  </w:pPr>
                  <w:r>
                    <w:rPr>
                      <w:rFonts w:eastAsiaTheme="minorEastAsia"/>
                    </w:rPr>
                    <w:t>距厂界距离/m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44" w:type="pct"/>
                  <w:vAlign w:val="center"/>
                </w:tcPr>
                <w:p>
                  <w:pPr>
                    <w:pStyle w:val="60"/>
                    <w:rPr>
                      <w:rFonts w:eastAsiaTheme="minorEastAsia"/>
                    </w:rPr>
                  </w:pPr>
                  <w:r>
                    <w:rPr>
                      <w:rFonts w:eastAsiaTheme="minorEastAsia"/>
                    </w:rPr>
                    <w:t>大气环境</w:t>
                  </w:r>
                </w:p>
              </w:tc>
              <w:tc>
                <w:tcPr>
                  <w:tcW w:w="475" w:type="pct"/>
                  <w:vAlign w:val="center"/>
                </w:tcPr>
                <w:p>
                  <w:pPr>
                    <w:pStyle w:val="60"/>
                    <w:rPr>
                      <w:rFonts w:eastAsiaTheme="minorEastAsia"/>
                      <w:kern w:val="0"/>
                    </w:rPr>
                  </w:pPr>
                  <w:r>
                    <w:rPr>
                      <w:rFonts w:hint="eastAsia" w:eastAsiaTheme="minorEastAsia"/>
                      <w:kern w:val="0"/>
                    </w:rPr>
                    <w:t>西海子</w:t>
                  </w:r>
                </w:p>
              </w:tc>
              <w:tc>
                <w:tcPr>
                  <w:tcW w:w="1215" w:type="pct"/>
                  <w:vAlign w:val="center"/>
                </w:tcPr>
                <w:p>
                  <w:pPr>
                    <w:pStyle w:val="60"/>
                    <w:rPr>
                      <w:rFonts w:eastAsiaTheme="minorEastAsia"/>
                      <w:kern w:val="0"/>
                    </w:rPr>
                  </w:pPr>
                  <w:r>
                    <w:rPr>
                      <w:rFonts w:eastAsiaTheme="minorEastAsia"/>
                      <w:kern w:val="0"/>
                    </w:rPr>
                    <w:t>N40°</w:t>
                  </w:r>
                  <w:r>
                    <w:rPr>
                      <w:rFonts w:hint="eastAsia" w:eastAsiaTheme="minorEastAsia"/>
                      <w:kern w:val="0"/>
                    </w:rPr>
                    <w:t>58</w:t>
                  </w:r>
                  <w:r>
                    <w:rPr>
                      <w:rFonts w:eastAsiaTheme="minorEastAsia"/>
                      <w:kern w:val="0"/>
                    </w:rPr>
                    <w:t>'</w:t>
                  </w:r>
                  <w:r>
                    <w:rPr>
                      <w:rFonts w:hint="eastAsia" w:eastAsiaTheme="minorEastAsia"/>
                      <w:kern w:val="0"/>
                    </w:rPr>
                    <w:t>56.321</w:t>
                  </w:r>
                  <w:r>
                    <w:rPr>
                      <w:rFonts w:eastAsiaTheme="minorEastAsia"/>
                      <w:kern w:val="0"/>
                    </w:rPr>
                    <w:t>"</w:t>
                  </w:r>
                </w:p>
                <w:p>
                  <w:pPr>
                    <w:pStyle w:val="60"/>
                    <w:rPr>
                      <w:rFonts w:eastAsiaTheme="minorEastAsia"/>
                      <w:kern w:val="0"/>
                    </w:rPr>
                  </w:pPr>
                  <w:r>
                    <w:rPr>
                      <w:rFonts w:eastAsiaTheme="minorEastAsia"/>
                      <w:kern w:val="0"/>
                    </w:rPr>
                    <w:t>E1</w:t>
                  </w:r>
                  <w:r>
                    <w:rPr>
                      <w:rFonts w:hint="eastAsia" w:eastAsiaTheme="minorEastAsia"/>
                      <w:kern w:val="0"/>
                    </w:rPr>
                    <w:t>08</w:t>
                  </w:r>
                  <w:r>
                    <w:rPr>
                      <w:rFonts w:eastAsiaTheme="minorEastAsia"/>
                      <w:kern w:val="0"/>
                    </w:rPr>
                    <w:t>°</w:t>
                  </w:r>
                  <w:r>
                    <w:rPr>
                      <w:rFonts w:hint="eastAsia" w:eastAsiaTheme="minorEastAsia"/>
                      <w:kern w:val="0"/>
                    </w:rPr>
                    <w:t>25</w:t>
                  </w:r>
                  <w:r>
                    <w:rPr>
                      <w:rFonts w:eastAsiaTheme="minorEastAsia"/>
                      <w:kern w:val="0"/>
                    </w:rPr>
                    <w:t>'5</w:t>
                  </w:r>
                  <w:r>
                    <w:rPr>
                      <w:rFonts w:hint="eastAsia" w:eastAsiaTheme="minorEastAsia"/>
                      <w:kern w:val="0"/>
                    </w:rPr>
                    <w:t>3.171</w:t>
                  </w:r>
                  <w:r>
                    <w:rPr>
                      <w:rFonts w:eastAsiaTheme="minorEastAsia"/>
                      <w:kern w:val="0"/>
                    </w:rPr>
                    <w:t>"</w:t>
                  </w:r>
                </w:p>
              </w:tc>
              <w:tc>
                <w:tcPr>
                  <w:tcW w:w="600" w:type="pct"/>
                  <w:vAlign w:val="center"/>
                </w:tcPr>
                <w:p>
                  <w:pPr>
                    <w:pStyle w:val="60"/>
                    <w:rPr>
                      <w:rFonts w:eastAsiaTheme="minorEastAsia"/>
                      <w:kern w:val="0"/>
                    </w:rPr>
                  </w:pPr>
                  <w:r>
                    <w:rPr>
                      <w:rFonts w:hint="eastAsia" w:eastAsiaTheme="minorEastAsia"/>
                      <w:kern w:val="0"/>
                    </w:rPr>
                    <w:t>村民</w:t>
                  </w:r>
                </w:p>
              </w:tc>
              <w:tc>
                <w:tcPr>
                  <w:tcW w:w="406" w:type="pct"/>
                  <w:vAlign w:val="center"/>
                </w:tcPr>
                <w:p>
                  <w:pPr>
                    <w:pStyle w:val="60"/>
                    <w:rPr>
                      <w:rFonts w:eastAsiaTheme="minorEastAsia"/>
                      <w:kern w:val="0"/>
                    </w:rPr>
                  </w:pPr>
                  <w:r>
                    <w:rPr>
                      <w:rFonts w:hint="eastAsia" w:eastAsiaTheme="minorEastAsia"/>
                      <w:kern w:val="0"/>
                    </w:rPr>
                    <w:t>200</w:t>
                  </w:r>
                </w:p>
              </w:tc>
              <w:tc>
                <w:tcPr>
                  <w:tcW w:w="1181" w:type="pct"/>
                  <w:vAlign w:val="center"/>
                </w:tcPr>
                <w:p>
                  <w:pPr>
                    <w:pStyle w:val="60"/>
                    <w:rPr>
                      <w:rFonts w:eastAsiaTheme="minorEastAsia"/>
                    </w:rPr>
                  </w:pPr>
                  <w:r>
                    <w:rPr>
                      <w:rFonts w:eastAsiaTheme="minorEastAsia"/>
                    </w:rPr>
                    <w:t>《环境空气质量标准》（GB3095-2012）二级标准</w:t>
                  </w:r>
                </w:p>
              </w:tc>
              <w:tc>
                <w:tcPr>
                  <w:tcW w:w="303" w:type="pct"/>
                  <w:vAlign w:val="center"/>
                </w:tcPr>
                <w:p>
                  <w:pPr>
                    <w:pStyle w:val="60"/>
                    <w:rPr>
                      <w:rFonts w:eastAsiaTheme="minorEastAsia"/>
                      <w:kern w:val="0"/>
                    </w:rPr>
                  </w:pPr>
                  <w:r>
                    <w:rPr>
                      <w:rFonts w:hint="eastAsia" w:eastAsiaTheme="minorEastAsia"/>
                      <w:kern w:val="0"/>
                    </w:rPr>
                    <w:t>E</w:t>
                  </w:r>
                </w:p>
              </w:tc>
              <w:tc>
                <w:tcPr>
                  <w:tcW w:w="276" w:type="pct"/>
                  <w:vAlign w:val="center"/>
                </w:tcPr>
                <w:p>
                  <w:pPr>
                    <w:pStyle w:val="60"/>
                    <w:rPr>
                      <w:rFonts w:eastAsiaTheme="minorEastAsia"/>
                      <w:kern w:val="0"/>
                    </w:rPr>
                  </w:pPr>
                  <w:r>
                    <w:rPr>
                      <w:rFonts w:hint="eastAsia" w:eastAsiaTheme="minorEastAsia"/>
                      <w:kern w:val="0"/>
                    </w:rPr>
                    <w:t>429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44" w:type="pct"/>
                  <w:vAlign w:val="center"/>
                </w:tcPr>
                <w:p>
                  <w:pPr>
                    <w:pStyle w:val="60"/>
                    <w:rPr>
                      <w:rFonts w:eastAsiaTheme="minorEastAsia"/>
                    </w:rPr>
                  </w:pPr>
                  <w:r>
                    <w:rPr>
                      <w:rFonts w:eastAsiaTheme="minorEastAsia"/>
                    </w:rPr>
                    <w:t>声环境</w:t>
                  </w:r>
                </w:p>
              </w:tc>
              <w:tc>
                <w:tcPr>
                  <w:tcW w:w="2696" w:type="pct"/>
                  <w:gridSpan w:val="4"/>
                  <w:vAlign w:val="center"/>
                </w:tcPr>
                <w:p>
                  <w:pPr>
                    <w:pStyle w:val="60"/>
                    <w:rPr>
                      <w:rFonts w:eastAsiaTheme="minorEastAsia"/>
                    </w:rPr>
                  </w:pPr>
                  <w:r>
                    <w:rPr>
                      <w:rFonts w:eastAsiaTheme="minorEastAsia"/>
                    </w:rPr>
                    <w:t>项目周边50m范围无声环境敏感目标</w:t>
                  </w:r>
                </w:p>
              </w:tc>
              <w:tc>
                <w:tcPr>
                  <w:tcW w:w="1759" w:type="pct"/>
                  <w:gridSpan w:val="3"/>
                  <w:vAlign w:val="center"/>
                </w:tcPr>
                <w:p>
                  <w:pPr>
                    <w:pStyle w:val="60"/>
                    <w:rPr>
                      <w:rFonts w:eastAsiaTheme="minorEastAsia"/>
                    </w:rPr>
                  </w:pPr>
                  <w:r>
                    <w:rPr>
                      <w:rFonts w:eastAsiaTheme="minorEastAsia"/>
                    </w:rPr>
                    <w:t>《声环境质量标准》（GB3096-2008）中2类功能区</w:t>
                  </w:r>
                </w:p>
              </w:tc>
            </w:tr>
          </w:tbl>
          <w:p>
            <w:pPr>
              <w:adjustRightInd w:val="0"/>
              <w:snapToGrid w:val="0"/>
              <w:ind w:firstLine="420"/>
              <w:jc w:val="left"/>
              <w:rPr>
                <w:rFonts w:eastAsiaTheme="minorEastAsia"/>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800" w:type="dxa"/>
            <w:tcMar>
              <w:left w:w="28" w:type="dxa"/>
              <w:right w:w="28" w:type="dxa"/>
            </w:tcMar>
            <w:vAlign w:val="center"/>
          </w:tcPr>
          <w:p>
            <w:pPr>
              <w:adjustRightInd w:val="0"/>
              <w:snapToGrid w:val="0"/>
              <w:jc w:val="center"/>
              <w:rPr>
                <w:rFonts w:eastAsiaTheme="minorEastAsia"/>
                <w:kern w:val="0"/>
                <w:szCs w:val="21"/>
              </w:rPr>
            </w:pPr>
            <w:r>
              <w:rPr>
                <w:rFonts w:eastAsiaTheme="minorEastAsia"/>
                <w:kern w:val="0"/>
                <w:szCs w:val="21"/>
              </w:rPr>
              <w:t>污染</w:t>
            </w:r>
          </w:p>
          <w:p>
            <w:pPr>
              <w:adjustRightInd w:val="0"/>
              <w:snapToGrid w:val="0"/>
              <w:jc w:val="center"/>
              <w:rPr>
                <w:rFonts w:eastAsiaTheme="minorEastAsia"/>
                <w:kern w:val="0"/>
                <w:szCs w:val="21"/>
              </w:rPr>
            </w:pPr>
            <w:r>
              <w:rPr>
                <w:rFonts w:eastAsiaTheme="minorEastAsia"/>
                <w:kern w:val="0"/>
                <w:szCs w:val="21"/>
              </w:rPr>
              <w:t>物排</w:t>
            </w:r>
          </w:p>
          <w:p>
            <w:pPr>
              <w:adjustRightInd w:val="0"/>
              <w:snapToGrid w:val="0"/>
              <w:jc w:val="center"/>
              <w:rPr>
                <w:rFonts w:eastAsiaTheme="minorEastAsia"/>
                <w:kern w:val="0"/>
                <w:szCs w:val="21"/>
              </w:rPr>
            </w:pPr>
            <w:r>
              <w:rPr>
                <w:rFonts w:eastAsiaTheme="minorEastAsia"/>
                <w:kern w:val="0"/>
                <w:szCs w:val="21"/>
              </w:rPr>
              <w:t>放控</w:t>
            </w:r>
          </w:p>
          <w:p>
            <w:pPr>
              <w:adjustRightInd w:val="0"/>
              <w:snapToGrid w:val="0"/>
              <w:jc w:val="center"/>
              <w:rPr>
                <w:rFonts w:eastAsiaTheme="minorEastAsia"/>
                <w:kern w:val="0"/>
                <w:szCs w:val="21"/>
              </w:rPr>
            </w:pPr>
            <w:r>
              <w:rPr>
                <w:rFonts w:eastAsiaTheme="minorEastAsia"/>
                <w:kern w:val="0"/>
                <w:szCs w:val="21"/>
              </w:rPr>
              <w:t>制标</w:t>
            </w:r>
          </w:p>
          <w:p>
            <w:pPr>
              <w:adjustRightInd w:val="0"/>
              <w:snapToGrid w:val="0"/>
              <w:jc w:val="center"/>
              <w:rPr>
                <w:rFonts w:eastAsiaTheme="minorEastAsia"/>
                <w:kern w:val="0"/>
                <w:szCs w:val="21"/>
              </w:rPr>
            </w:pPr>
            <w:r>
              <w:rPr>
                <w:rFonts w:eastAsiaTheme="minorEastAsia"/>
                <w:kern w:val="0"/>
                <w:szCs w:val="21"/>
              </w:rPr>
              <w:t>准</w:t>
            </w:r>
          </w:p>
        </w:tc>
        <w:tc>
          <w:tcPr>
            <w:tcW w:w="8190" w:type="dxa"/>
            <w:vAlign w:val="center"/>
          </w:tcPr>
          <w:p>
            <w:pPr>
              <w:pStyle w:val="55"/>
              <w:ind w:firstLine="482"/>
              <w:rPr>
                <w:rFonts w:ascii="Times New Roman" w:eastAsiaTheme="minorEastAsia"/>
                <w:b/>
              </w:rPr>
            </w:pPr>
            <w:r>
              <w:rPr>
                <w:rFonts w:ascii="Times New Roman" w:eastAsiaTheme="minorEastAsia"/>
                <w:b/>
              </w:rPr>
              <w:t>1、废气排放标准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eastAsia="宋体"/>
                <w:color w:val="auto"/>
                <w:szCs w:val="24"/>
                <w:lang w:val="en-US" w:eastAsia="zh-CN"/>
              </w:rPr>
            </w:pPr>
            <w:r>
              <w:rPr>
                <w:rFonts w:eastAsiaTheme="minorEastAsia"/>
                <w:color w:val="auto"/>
                <w:sz w:val="24"/>
              </w:rPr>
              <w:t>施工期扬尘</w:t>
            </w:r>
            <w:r>
              <w:rPr>
                <w:rFonts w:hint="eastAsia" w:eastAsiaTheme="minorEastAsia"/>
                <w:color w:val="auto"/>
                <w:sz w:val="24"/>
              </w:rPr>
              <w:t>、运营期初清工序和烘干产生的粉尘无组织排放，</w:t>
            </w:r>
            <w:r>
              <w:rPr>
                <w:rFonts w:eastAsiaTheme="minorEastAsia"/>
                <w:color w:val="auto"/>
                <w:sz w:val="24"/>
              </w:rPr>
              <w:t>排放执行《大气污染物综合排放标准》（GB165297-1996）无组织排放监控浓度限值；</w:t>
            </w:r>
            <w:r>
              <w:rPr>
                <w:rFonts w:hint="eastAsia" w:eastAsiaTheme="minorEastAsia"/>
                <w:color w:val="auto"/>
                <w:sz w:val="24"/>
                <w:szCs w:val="24"/>
              </w:rPr>
              <w:t>生物质</w:t>
            </w:r>
            <w:r>
              <w:rPr>
                <w:rFonts w:eastAsiaTheme="minorEastAsia"/>
                <w:color w:val="auto"/>
                <w:sz w:val="24"/>
                <w:szCs w:val="24"/>
              </w:rPr>
              <w:t>热风炉废气</w:t>
            </w:r>
            <w:r>
              <w:rPr>
                <w:rFonts w:hint="eastAsia" w:eastAsiaTheme="minorEastAsia"/>
                <w:color w:val="auto"/>
                <w:sz w:val="24"/>
                <w:szCs w:val="24"/>
                <w:lang w:eastAsia="zh-CN"/>
              </w:rPr>
              <w:t>中</w:t>
            </w:r>
            <w:r>
              <w:rPr>
                <w:rFonts w:hint="eastAsia" w:ascii="Times New Roman" w:hAnsi="Times New Roman" w:eastAsia="宋体" w:cs="Times New Roman"/>
                <w:color w:val="auto"/>
                <w:sz w:val="24"/>
                <w:szCs w:val="24"/>
                <w:lang w:eastAsia="zh-CN"/>
              </w:rPr>
              <w:t>烟尘、二氧化硫、林格曼黑度执行《工业炉窑大气污染物排放标准》（</w:t>
            </w:r>
            <w:r>
              <w:rPr>
                <w:rFonts w:hint="eastAsia" w:ascii="Times New Roman" w:hAnsi="Times New Roman" w:eastAsia="宋体" w:cs="Times New Roman"/>
                <w:color w:val="auto"/>
                <w:sz w:val="24"/>
                <w:szCs w:val="24"/>
                <w:lang w:val="en-US" w:eastAsia="zh-CN"/>
              </w:rPr>
              <w:t>GB9078-1996</w:t>
            </w:r>
            <w:r>
              <w:rPr>
                <w:rFonts w:hint="eastAsia" w:ascii="Times New Roman" w:hAnsi="Times New Roman" w:eastAsia="宋体" w:cs="Times New Roman"/>
                <w:color w:val="auto"/>
                <w:sz w:val="24"/>
                <w:szCs w:val="24"/>
                <w:lang w:eastAsia="zh-CN"/>
              </w:rPr>
              <w:t>）中相关标准</w:t>
            </w:r>
            <w:r>
              <w:rPr>
                <w:rFonts w:hint="eastAsia" w:ascii="Times New Roman" w:hAnsi="Times New Roman" w:eastAsia="宋体" w:cs="Times New Roman"/>
                <w:color w:val="auto"/>
                <w:sz w:val="24"/>
                <w:szCs w:val="24"/>
                <w:lang w:val="en-US" w:eastAsia="zh-CN"/>
              </w:rPr>
              <w:t>200</w:t>
            </w:r>
            <w:r>
              <w:rPr>
                <w:rFonts w:eastAsiaTheme="minorEastAsia"/>
                <w:color w:val="auto"/>
                <w:sz w:val="24"/>
                <w:szCs w:val="24"/>
              </w:rPr>
              <w:t>mg/m</w:t>
            </w:r>
            <w:r>
              <w:rPr>
                <w:rFonts w:eastAsiaTheme="minorEastAsia"/>
                <w:color w:val="auto"/>
                <w:sz w:val="24"/>
                <w:szCs w:val="24"/>
                <w:vertAlign w:val="superscript"/>
              </w:rPr>
              <w:t>3</w:t>
            </w:r>
            <w:r>
              <w:rPr>
                <w:rFonts w:hint="eastAsia" w:ascii="Times New Roman" w:hAnsi="Times New Roman" w:eastAsia="宋体" w:cs="Times New Roman"/>
                <w:color w:val="auto"/>
                <w:sz w:val="24"/>
                <w:szCs w:val="24"/>
                <w:lang w:val="en-US" w:eastAsia="zh-CN"/>
              </w:rPr>
              <w:t>、850</w:t>
            </w:r>
            <w:r>
              <w:rPr>
                <w:rFonts w:eastAsiaTheme="minorEastAsia"/>
                <w:color w:val="auto"/>
                <w:sz w:val="24"/>
                <w:szCs w:val="24"/>
              </w:rPr>
              <w:t>mg/m</w:t>
            </w:r>
            <w:r>
              <w:rPr>
                <w:rFonts w:eastAsiaTheme="minorEastAsia"/>
                <w:color w:val="auto"/>
                <w:sz w:val="24"/>
                <w:szCs w:val="24"/>
                <w:vertAlign w:val="superscript"/>
              </w:rPr>
              <w:t>3</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，氮氧化物执行</w:t>
            </w:r>
            <w:r>
              <w:rPr>
                <w:rFonts w:hint="default" w:ascii="Times New Roman" w:hAnsi="Times New Roman" w:eastAsia="宋体" w:cs="Times New Roman"/>
                <w:color w:val="auto"/>
                <w:sz w:val="24"/>
                <w:szCs w:val="24"/>
              </w:rPr>
              <w:t>《大气污染物综合排放标准》（GB16297-1996）表</w:t>
            </w:r>
            <w:r>
              <w:rPr>
                <w:rFonts w:hint="eastAsia" w:ascii="Times New Roman" w:hAnsi="Times New Roman" w:eastAsia="宋体" w:cs="Times New Roman"/>
                <w:color w:val="auto"/>
                <w:sz w:val="24"/>
                <w:szCs w:val="24"/>
                <w:lang w:val="en-US" w:eastAsia="zh-CN"/>
              </w:rPr>
              <w:t>2中有组织限值</w:t>
            </w:r>
            <w:r>
              <w:rPr>
                <w:rFonts w:hint="eastAsia" w:cs="Times New Roman"/>
                <w:color w:val="auto"/>
                <w:sz w:val="24"/>
                <w:szCs w:val="24"/>
                <w:lang w:val="en-US" w:eastAsia="zh-CN"/>
              </w:rPr>
              <w:t>（240</w:t>
            </w:r>
            <w:r>
              <w:rPr>
                <w:rFonts w:eastAsiaTheme="minorEastAsia"/>
                <w:color w:val="auto"/>
                <w:sz w:val="24"/>
                <w:szCs w:val="24"/>
              </w:rPr>
              <w:t>mg/m</w:t>
            </w:r>
            <w:r>
              <w:rPr>
                <w:rFonts w:eastAsiaTheme="minorEastAsia"/>
                <w:color w:val="auto"/>
                <w:sz w:val="24"/>
                <w:szCs w:val="24"/>
                <w:vertAlign w:val="superscript"/>
              </w:rPr>
              <w:t>3</w:t>
            </w:r>
            <w:r>
              <w:rPr>
                <w:rFonts w:hint="eastAsia" w:eastAsiaTheme="minorEastAsia"/>
                <w:color w:val="auto"/>
                <w:sz w:val="24"/>
                <w:szCs w:val="24"/>
                <w:vertAlign w:val="baseline"/>
                <w:lang w:eastAsia="zh-CN"/>
              </w:rPr>
              <w:t>、</w:t>
            </w:r>
            <w:r>
              <w:rPr>
                <w:rFonts w:hint="eastAsia" w:eastAsiaTheme="minorEastAsia"/>
                <w:color w:val="auto"/>
                <w:sz w:val="24"/>
                <w:szCs w:val="24"/>
                <w:vertAlign w:val="baseline"/>
                <w:lang w:val="en-US" w:eastAsia="zh-CN"/>
              </w:rPr>
              <w:t>0.77kg/h（15m排</w:t>
            </w:r>
            <w:bookmarkStart w:id="4" w:name="_GoBack"/>
            <w:bookmarkEnd w:id="4"/>
            <w:r>
              <w:rPr>
                <w:rFonts w:hint="eastAsia" w:eastAsiaTheme="minorEastAsia"/>
                <w:color w:val="auto"/>
                <w:sz w:val="24"/>
                <w:szCs w:val="24"/>
                <w:vertAlign w:val="baseline"/>
                <w:lang w:val="en-US" w:eastAsia="zh-CN"/>
              </w:rPr>
              <w:t>气筒）</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w:t>
            </w:r>
          </w:p>
          <w:p>
            <w:pPr>
              <w:spacing w:line="360" w:lineRule="auto"/>
              <w:ind w:firstLine="480" w:firstLineChars="200"/>
              <w:rPr>
                <w:rFonts w:eastAsiaTheme="minorEastAsia"/>
                <w:sz w:val="24"/>
              </w:rPr>
            </w:pPr>
            <w:r>
              <w:rPr>
                <w:rFonts w:hint="eastAsia" w:eastAsiaTheme="minorEastAsia"/>
                <w:sz w:val="24"/>
              </w:rPr>
              <w:t>食堂油烟执行</w:t>
            </w:r>
            <w:r>
              <w:rPr>
                <w:rStyle w:val="47"/>
                <w:rFonts w:hint="default"/>
                <w:color w:val="auto"/>
              </w:rPr>
              <w:t>《饮食业油烟排放标准（试行）》（</w:t>
            </w:r>
            <w:r>
              <w:rPr>
                <w:rStyle w:val="46"/>
                <w:color w:val="auto"/>
              </w:rPr>
              <w:t>GB18483-2001</w:t>
            </w:r>
            <w:r>
              <w:rPr>
                <w:rStyle w:val="47"/>
                <w:rFonts w:hint="default"/>
                <w:color w:val="auto"/>
              </w:rPr>
              <w:t>）中的小型标准</w:t>
            </w:r>
            <w:r>
              <w:rPr>
                <w:rFonts w:eastAsiaTheme="minorEastAsia"/>
                <w:sz w:val="24"/>
              </w:rPr>
              <w:t>。具体标准值见下表。</w:t>
            </w:r>
          </w:p>
          <w:p>
            <w:pPr>
              <w:pStyle w:val="39"/>
              <w:rPr>
                <w:rFonts w:eastAsiaTheme="minorEastAsia"/>
              </w:rPr>
            </w:pPr>
            <w:r>
              <w:rPr>
                <w:rFonts w:eastAsiaTheme="minorEastAsia"/>
              </w:rPr>
              <w:t>表</w:t>
            </w:r>
            <w:r>
              <w:rPr>
                <w:rFonts w:hint="eastAsia" w:eastAsiaTheme="minorEastAsia"/>
              </w:rPr>
              <w:t>10</w:t>
            </w:r>
            <w:r>
              <w:rPr>
                <w:rFonts w:eastAsiaTheme="minorEastAsia"/>
              </w:rPr>
              <w:t xml:space="preserve">    大气污染物综合排放标准（GB16297-1996）</w:t>
            </w:r>
          </w:p>
          <w:tbl>
            <w:tblPr>
              <w:tblStyle w:val="1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1090"/>
              <w:gridCol w:w="1433"/>
              <w:gridCol w:w="1071"/>
              <w:gridCol w:w="31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810" w:type="pct"/>
                  <w:vMerge w:val="restart"/>
                  <w:vAlign w:val="center"/>
                </w:tcPr>
                <w:p>
                  <w:pPr>
                    <w:pStyle w:val="60"/>
                    <w:rPr>
                      <w:rFonts w:eastAsiaTheme="minorEastAsia"/>
                    </w:rPr>
                  </w:pPr>
                  <w:r>
                    <w:rPr>
                      <w:rFonts w:eastAsiaTheme="minorEastAsia"/>
                    </w:rPr>
                    <w:t>污染物项目</w:t>
                  </w:r>
                </w:p>
              </w:tc>
              <w:tc>
                <w:tcPr>
                  <w:tcW w:w="620" w:type="pct"/>
                  <w:vMerge w:val="restart"/>
                  <w:vAlign w:val="center"/>
                </w:tcPr>
                <w:p>
                  <w:pPr>
                    <w:pStyle w:val="60"/>
                    <w:rPr>
                      <w:rFonts w:eastAsiaTheme="minorEastAsia"/>
                    </w:rPr>
                  </w:pPr>
                  <w:r>
                    <w:rPr>
                      <w:rFonts w:eastAsiaTheme="minorEastAsia"/>
                    </w:rPr>
                    <w:t>浓度限值</w:t>
                  </w:r>
                </w:p>
              </w:tc>
              <w:tc>
                <w:tcPr>
                  <w:tcW w:w="1601" w:type="pct"/>
                  <w:gridSpan w:val="2"/>
                  <w:vAlign w:val="center"/>
                </w:tcPr>
                <w:p>
                  <w:pPr>
                    <w:pStyle w:val="60"/>
                    <w:rPr>
                      <w:rFonts w:eastAsiaTheme="minorEastAsia"/>
                    </w:rPr>
                  </w:pPr>
                  <w:r>
                    <w:rPr>
                      <w:rFonts w:eastAsiaTheme="minorEastAsia"/>
                    </w:rPr>
                    <w:t>最高允许排放速率</w:t>
                  </w:r>
                </w:p>
              </w:tc>
              <w:tc>
                <w:tcPr>
                  <w:tcW w:w="1968" w:type="pct"/>
                  <w:vMerge w:val="restart"/>
                  <w:vAlign w:val="center"/>
                </w:tcPr>
                <w:p>
                  <w:pPr>
                    <w:pStyle w:val="60"/>
                    <w:rPr>
                      <w:rFonts w:eastAsiaTheme="minorEastAsia"/>
                    </w:rPr>
                  </w:pPr>
                  <w:r>
                    <w:rPr>
                      <w:rFonts w:eastAsiaTheme="minorEastAsia"/>
                    </w:rPr>
                    <w:t>无组织排放监控浓度限值</w:t>
                  </w:r>
                  <w:r>
                    <w:rPr>
                      <w:rFonts w:eastAsiaTheme="minorEastAsia"/>
                      <w:kern w:val="0"/>
                    </w:rPr>
                    <w:t>mg/m</w:t>
                  </w:r>
                  <w:r>
                    <w:rPr>
                      <w:rFonts w:eastAsiaTheme="minorEastAsia"/>
                      <w:kern w:val="0"/>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810" w:type="pct"/>
                  <w:vMerge w:val="continue"/>
                  <w:vAlign w:val="center"/>
                </w:tcPr>
                <w:p>
                  <w:pPr>
                    <w:pStyle w:val="60"/>
                    <w:rPr>
                      <w:rFonts w:eastAsiaTheme="minorEastAsia"/>
                    </w:rPr>
                  </w:pPr>
                </w:p>
              </w:tc>
              <w:tc>
                <w:tcPr>
                  <w:tcW w:w="620" w:type="pct"/>
                  <w:vMerge w:val="continue"/>
                  <w:vAlign w:val="center"/>
                </w:tcPr>
                <w:p>
                  <w:pPr>
                    <w:pStyle w:val="60"/>
                    <w:rPr>
                      <w:rFonts w:eastAsiaTheme="minorEastAsia"/>
                    </w:rPr>
                  </w:pPr>
                </w:p>
              </w:tc>
              <w:tc>
                <w:tcPr>
                  <w:tcW w:w="914" w:type="pct"/>
                  <w:vAlign w:val="center"/>
                </w:tcPr>
                <w:p>
                  <w:pPr>
                    <w:pStyle w:val="60"/>
                    <w:rPr>
                      <w:rFonts w:eastAsiaTheme="minorEastAsia"/>
                    </w:rPr>
                  </w:pPr>
                  <w:r>
                    <w:rPr>
                      <w:rFonts w:eastAsiaTheme="minorEastAsia"/>
                    </w:rPr>
                    <w:t>排气筒高度</w:t>
                  </w:r>
                </w:p>
              </w:tc>
              <w:tc>
                <w:tcPr>
                  <w:tcW w:w="687" w:type="pct"/>
                  <w:vAlign w:val="center"/>
                </w:tcPr>
                <w:p>
                  <w:pPr>
                    <w:pStyle w:val="60"/>
                    <w:rPr>
                      <w:rFonts w:eastAsiaTheme="minorEastAsia"/>
                    </w:rPr>
                  </w:pPr>
                  <w:r>
                    <w:rPr>
                      <w:rFonts w:eastAsiaTheme="minorEastAsia"/>
                    </w:rPr>
                    <w:t>二级</w:t>
                  </w:r>
                </w:p>
              </w:tc>
              <w:tc>
                <w:tcPr>
                  <w:tcW w:w="1968" w:type="pct"/>
                  <w:vMerge w:val="continue"/>
                  <w:vAlign w:val="center"/>
                </w:tcPr>
                <w:p>
                  <w:pPr>
                    <w:pStyle w:val="60"/>
                    <w:rPr>
                      <w:rFonts w:eastAsiaTheme="minorEastAsi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10" w:type="pct"/>
                  <w:vAlign w:val="center"/>
                </w:tcPr>
                <w:p>
                  <w:pPr>
                    <w:pStyle w:val="60"/>
                    <w:rPr>
                      <w:rFonts w:eastAsiaTheme="minorEastAsia"/>
                    </w:rPr>
                  </w:pPr>
                  <w:r>
                    <w:rPr>
                      <w:rFonts w:eastAsiaTheme="minorEastAsia"/>
                    </w:rPr>
                    <w:t>颗粒物</w:t>
                  </w:r>
                </w:p>
              </w:tc>
              <w:tc>
                <w:tcPr>
                  <w:tcW w:w="620" w:type="pct"/>
                  <w:vAlign w:val="center"/>
                </w:tcPr>
                <w:p>
                  <w:pPr>
                    <w:pStyle w:val="60"/>
                    <w:rPr>
                      <w:rFonts w:eastAsiaTheme="minorEastAsia"/>
                    </w:rPr>
                  </w:pPr>
                  <w:r>
                    <w:rPr>
                      <w:rFonts w:eastAsiaTheme="minorEastAsia"/>
                    </w:rPr>
                    <w:t>120mg/m</w:t>
                  </w:r>
                  <w:r>
                    <w:rPr>
                      <w:rFonts w:eastAsiaTheme="minorEastAsia"/>
                      <w:vertAlign w:val="superscript"/>
                    </w:rPr>
                    <w:t>3</w:t>
                  </w:r>
                </w:p>
              </w:tc>
              <w:tc>
                <w:tcPr>
                  <w:tcW w:w="914" w:type="pct"/>
                  <w:vAlign w:val="center"/>
                </w:tcPr>
                <w:p>
                  <w:pPr>
                    <w:pStyle w:val="60"/>
                    <w:rPr>
                      <w:rFonts w:eastAsiaTheme="minorEastAsia"/>
                    </w:rPr>
                  </w:pPr>
                  <w:r>
                    <w:rPr>
                      <w:rFonts w:eastAsiaTheme="minorEastAsia"/>
                    </w:rPr>
                    <w:t>15m</w:t>
                  </w:r>
                </w:p>
              </w:tc>
              <w:tc>
                <w:tcPr>
                  <w:tcW w:w="687" w:type="pct"/>
                  <w:vAlign w:val="center"/>
                </w:tcPr>
                <w:p>
                  <w:pPr>
                    <w:pStyle w:val="60"/>
                    <w:rPr>
                      <w:rFonts w:eastAsiaTheme="minorEastAsia"/>
                    </w:rPr>
                  </w:pPr>
                  <w:r>
                    <w:rPr>
                      <w:rFonts w:eastAsiaTheme="minorEastAsia"/>
                    </w:rPr>
                    <w:t>3.5kg/h</w:t>
                  </w:r>
                </w:p>
              </w:tc>
              <w:tc>
                <w:tcPr>
                  <w:tcW w:w="1968" w:type="pct"/>
                  <w:vAlign w:val="center"/>
                </w:tcPr>
                <w:p>
                  <w:pPr>
                    <w:pStyle w:val="60"/>
                    <w:rPr>
                      <w:rFonts w:eastAsiaTheme="minorEastAsia"/>
                    </w:rPr>
                  </w:pPr>
                  <w:r>
                    <w:rPr>
                      <w:rFonts w:eastAsiaTheme="minorEastAsia"/>
                    </w:rPr>
                    <w:t>1.0</w:t>
                  </w:r>
                </w:p>
              </w:tc>
            </w:tr>
          </w:tbl>
          <w:p>
            <w:pPr>
              <w:jc w:val="center"/>
              <w:rPr>
                <w:rFonts w:eastAsiaTheme="minorEastAsia"/>
                <w:sz w:val="24"/>
              </w:rPr>
            </w:pPr>
          </w:p>
          <w:p>
            <w:pPr>
              <w:pStyle w:val="39"/>
              <w:spacing w:beforeLines="50"/>
              <w:rPr>
                <w:rFonts w:eastAsiaTheme="minorEastAsia"/>
              </w:rPr>
            </w:pPr>
            <w:r>
              <w:rPr>
                <w:rFonts w:eastAsiaTheme="minorEastAsia"/>
              </w:rPr>
              <w:t>表1</w:t>
            </w:r>
            <w:r>
              <w:rPr>
                <w:rFonts w:hint="eastAsia" w:eastAsiaTheme="minorEastAsia"/>
              </w:rPr>
              <w:t>1</w:t>
            </w:r>
            <w:r>
              <w:rPr>
                <w:rFonts w:eastAsiaTheme="minorEastAsia"/>
              </w:rPr>
              <w:t xml:space="preserve">    </w:t>
            </w:r>
            <w:r>
              <w:rPr>
                <w:rFonts w:hint="eastAsia" w:eastAsiaTheme="minorEastAsia"/>
                <w:lang w:eastAsia="zh-CN"/>
              </w:rPr>
              <w:t>《工业炉窑大气污染物排放标准》（</w:t>
            </w:r>
            <w:r>
              <w:rPr>
                <w:rFonts w:hint="eastAsia" w:eastAsiaTheme="minorEastAsia"/>
                <w:lang w:val="en-US" w:eastAsia="zh-CN"/>
              </w:rPr>
              <w:t>GB9078-1996</w:t>
            </w:r>
            <w:r>
              <w:rPr>
                <w:rFonts w:hint="eastAsia" w:eastAsiaTheme="minorEastAsia"/>
                <w:lang w:eastAsia="zh-CN"/>
              </w:rPr>
              <w:t>）</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78"/>
              <w:gridCol w:w="30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23" w:hRule="atLeast"/>
                <w:jc w:val="center"/>
              </w:trPr>
              <w:tc>
                <w:tcPr>
                  <w:tcW w:w="3058" w:type="pct"/>
                  <w:vAlign w:val="center"/>
                </w:tcPr>
                <w:p>
                  <w:pPr>
                    <w:jc w:val="center"/>
                    <w:rPr>
                      <w:rFonts w:eastAsiaTheme="minorEastAsia"/>
                      <w:szCs w:val="21"/>
                    </w:rPr>
                  </w:pPr>
                  <w:r>
                    <w:rPr>
                      <w:rFonts w:eastAsiaTheme="minorEastAsia"/>
                      <w:szCs w:val="21"/>
                    </w:rPr>
                    <w:t>污染物项目</w:t>
                  </w:r>
                </w:p>
              </w:tc>
              <w:tc>
                <w:tcPr>
                  <w:tcW w:w="1941" w:type="pct"/>
                  <w:vAlign w:val="center"/>
                </w:tcPr>
                <w:p>
                  <w:pPr>
                    <w:jc w:val="center"/>
                    <w:rPr>
                      <w:rFonts w:eastAsiaTheme="minorEastAsia"/>
                      <w:szCs w:val="21"/>
                    </w:rPr>
                  </w:pPr>
                  <w:r>
                    <w:rPr>
                      <w:rFonts w:eastAsiaTheme="minorEastAsia"/>
                      <w:szCs w:val="21"/>
                    </w:rPr>
                    <w:t>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058" w:type="pct"/>
                </w:tcPr>
                <w:p>
                  <w:pPr>
                    <w:jc w:val="center"/>
                    <w:rPr>
                      <w:rFonts w:hint="eastAsia" w:eastAsiaTheme="minorEastAsia"/>
                      <w:color w:val="auto"/>
                      <w:szCs w:val="21"/>
                      <w:lang w:eastAsia="zh-CN"/>
                    </w:rPr>
                  </w:pPr>
                  <w:r>
                    <w:rPr>
                      <w:rFonts w:hint="eastAsia" w:eastAsiaTheme="minorEastAsia"/>
                      <w:color w:val="auto"/>
                      <w:szCs w:val="21"/>
                      <w:lang w:eastAsia="zh-CN"/>
                    </w:rPr>
                    <w:t>烟尘</w:t>
                  </w:r>
                </w:p>
              </w:tc>
              <w:tc>
                <w:tcPr>
                  <w:tcW w:w="1941" w:type="pct"/>
                </w:tcPr>
                <w:p>
                  <w:pPr>
                    <w:jc w:val="center"/>
                    <w:rPr>
                      <w:rFonts w:eastAsiaTheme="minorEastAsia"/>
                      <w:color w:val="auto"/>
                      <w:szCs w:val="21"/>
                    </w:rPr>
                  </w:pPr>
                  <w:r>
                    <w:rPr>
                      <w:rFonts w:hint="eastAsia" w:eastAsiaTheme="minorEastAsia"/>
                      <w:color w:val="auto"/>
                      <w:szCs w:val="21"/>
                      <w:lang w:val="en-US" w:eastAsia="zh-CN"/>
                    </w:rPr>
                    <w:t>200</w:t>
                  </w:r>
                  <w:r>
                    <w:rPr>
                      <w:rFonts w:eastAsiaTheme="minorEastAsia"/>
                      <w:color w:val="auto"/>
                      <w:szCs w:val="21"/>
                    </w:rPr>
                    <w:t>mg/m</w:t>
                  </w:r>
                  <w:r>
                    <w:rPr>
                      <w:rFonts w:eastAsiaTheme="minorEastAsia"/>
                      <w:color w:val="auto"/>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058" w:type="pct"/>
                </w:tcPr>
                <w:p>
                  <w:pPr>
                    <w:jc w:val="center"/>
                    <w:rPr>
                      <w:rFonts w:eastAsiaTheme="minorEastAsia"/>
                      <w:color w:val="auto"/>
                      <w:szCs w:val="21"/>
                    </w:rPr>
                  </w:pPr>
                  <w:r>
                    <w:rPr>
                      <w:rFonts w:eastAsiaTheme="minorEastAsia"/>
                      <w:color w:val="auto"/>
                      <w:szCs w:val="21"/>
                    </w:rPr>
                    <w:t>二氧化硫</w:t>
                  </w:r>
                </w:p>
              </w:tc>
              <w:tc>
                <w:tcPr>
                  <w:tcW w:w="1941" w:type="pct"/>
                </w:tcPr>
                <w:p>
                  <w:pPr>
                    <w:jc w:val="center"/>
                    <w:rPr>
                      <w:rFonts w:eastAsiaTheme="minorEastAsia"/>
                      <w:color w:val="auto"/>
                      <w:szCs w:val="21"/>
                    </w:rPr>
                  </w:pPr>
                  <w:r>
                    <w:rPr>
                      <w:rFonts w:hint="eastAsia" w:eastAsiaTheme="minorEastAsia"/>
                      <w:color w:val="auto"/>
                      <w:szCs w:val="21"/>
                      <w:lang w:val="en-US" w:eastAsia="zh-CN"/>
                    </w:rPr>
                    <w:t>850</w:t>
                  </w:r>
                  <w:r>
                    <w:rPr>
                      <w:rFonts w:eastAsiaTheme="minorEastAsia"/>
                      <w:color w:val="auto"/>
                      <w:szCs w:val="21"/>
                    </w:rPr>
                    <w:t>mg/m</w:t>
                  </w:r>
                  <w:r>
                    <w:rPr>
                      <w:rFonts w:eastAsiaTheme="minorEastAsia"/>
                      <w:color w:val="auto"/>
                      <w:szCs w:val="21"/>
                      <w:vertAlign w:val="superscript"/>
                    </w:rPr>
                    <w:t>3</w:t>
                  </w:r>
                </w:p>
              </w:tc>
            </w:tr>
          </w:tbl>
          <w:p>
            <w:pPr>
              <w:pStyle w:val="36"/>
              <w:spacing w:before="96" w:after="24"/>
              <w:rPr>
                <w:kern w:val="0"/>
                <w:sz w:val="24"/>
              </w:rPr>
            </w:pPr>
            <w:r>
              <w:rPr>
                <w:kern w:val="0"/>
              </w:rPr>
              <w:t>表</w:t>
            </w:r>
            <w:r>
              <w:rPr>
                <w:rFonts w:hint="eastAsia"/>
                <w:kern w:val="0"/>
              </w:rPr>
              <w:t>12</w:t>
            </w:r>
            <w:r>
              <w:rPr>
                <w:rFonts w:hint="eastAsia"/>
                <w:bCs/>
                <w:kern w:val="0"/>
              </w:rPr>
              <w:t xml:space="preserve">   </w:t>
            </w:r>
            <w:r>
              <w:rPr>
                <w:bCs/>
                <w:kern w:val="0"/>
              </w:rPr>
              <w:t xml:space="preserve"> </w:t>
            </w:r>
            <w:r>
              <w:rPr>
                <w:kern w:val="0"/>
              </w:rPr>
              <w:t>饮食业油烟排放标准</w:t>
            </w:r>
          </w:p>
          <w:tbl>
            <w:tblPr>
              <w:tblStyle w:val="1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49"/>
              <w:gridCol w:w="1641"/>
              <w:gridCol w:w="1641"/>
              <w:gridCol w:w="14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37" w:type="pct"/>
                  <w:vAlign w:val="center"/>
                </w:tcPr>
                <w:p>
                  <w:pPr>
                    <w:pStyle w:val="57"/>
                    <w:rPr>
                      <w:kern w:val="0"/>
                      <w:szCs w:val="21"/>
                    </w:rPr>
                  </w:pPr>
                  <w:r>
                    <w:rPr>
                      <w:kern w:val="0"/>
                      <w:szCs w:val="21"/>
                    </w:rPr>
                    <w:t>规模</w:t>
                  </w:r>
                </w:p>
              </w:tc>
              <w:tc>
                <w:tcPr>
                  <w:tcW w:w="1029" w:type="pct"/>
                  <w:vAlign w:val="center"/>
                </w:tcPr>
                <w:p>
                  <w:pPr>
                    <w:pStyle w:val="57"/>
                    <w:rPr>
                      <w:kern w:val="0"/>
                      <w:szCs w:val="21"/>
                    </w:rPr>
                  </w:pPr>
                  <w:r>
                    <w:rPr>
                      <w:kern w:val="0"/>
                      <w:szCs w:val="21"/>
                    </w:rPr>
                    <w:t>小型</w:t>
                  </w:r>
                </w:p>
              </w:tc>
              <w:tc>
                <w:tcPr>
                  <w:tcW w:w="1029" w:type="pct"/>
                  <w:vAlign w:val="center"/>
                </w:tcPr>
                <w:p>
                  <w:pPr>
                    <w:pStyle w:val="57"/>
                    <w:rPr>
                      <w:kern w:val="0"/>
                      <w:szCs w:val="21"/>
                    </w:rPr>
                  </w:pPr>
                  <w:r>
                    <w:rPr>
                      <w:kern w:val="0"/>
                      <w:szCs w:val="21"/>
                    </w:rPr>
                    <w:t>中型</w:t>
                  </w:r>
                </w:p>
              </w:tc>
              <w:tc>
                <w:tcPr>
                  <w:tcW w:w="905" w:type="pct"/>
                  <w:vAlign w:val="center"/>
                </w:tcPr>
                <w:p>
                  <w:pPr>
                    <w:pStyle w:val="57"/>
                    <w:rPr>
                      <w:kern w:val="0"/>
                      <w:szCs w:val="21"/>
                    </w:rPr>
                  </w:pPr>
                  <w:r>
                    <w:rPr>
                      <w:kern w:val="0"/>
                      <w:szCs w:val="21"/>
                    </w:rPr>
                    <w:t>大型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37" w:type="pct"/>
                  <w:vAlign w:val="center"/>
                </w:tcPr>
                <w:p>
                  <w:pPr>
                    <w:pStyle w:val="57"/>
                    <w:rPr>
                      <w:kern w:val="0"/>
                      <w:szCs w:val="21"/>
                    </w:rPr>
                  </w:pPr>
                  <w:r>
                    <w:rPr>
                      <w:kern w:val="0"/>
                      <w:szCs w:val="21"/>
                    </w:rPr>
                    <w:t>基准灶头数</w:t>
                  </w:r>
                </w:p>
              </w:tc>
              <w:tc>
                <w:tcPr>
                  <w:tcW w:w="1029" w:type="pct"/>
                  <w:vAlign w:val="center"/>
                </w:tcPr>
                <w:p>
                  <w:pPr>
                    <w:pStyle w:val="57"/>
                    <w:rPr>
                      <w:kern w:val="0"/>
                      <w:szCs w:val="21"/>
                    </w:rPr>
                  </w:pPr>
                  <w:r>
                    <w:rPr>
                      <w:rFonts w:hAnsi="宋体"/>
                      <w:kern w:val="0"/>
                      <w:szCs w:val="21"/>
                    </w:rPr>
                    <w:t>≧</w:t>
                  </w:r>
                  <w:r>
                    <w:rPr>
                      <w:kern w:val="0"/>
                      <w:szCs w:val="21"/>
                    </w:rPr>
                    <w:t>1，﹤3</w:t>
                  </w:r>
                </w:p>
              </w:tc>
              <w:tc>
                <w:tcPr>
                  <w:tcW w:w="1029" w:type="pct"/>
                  <w:vAlign w:val="center"/>
                </w:tcPr>
                <w:p>
                  <w:pPr>
                    <w:pStyle w:val="57"/>
                    <w:rPr>
                      <w:kern w:val="0"/>
                      <w:szCs w:val="21"/>
                    </w:rPr>
                  </w:pPr>
                  <w:r>
                    <w:rPr>
                      <w:rFonts w:hAnsi="宋体"/>
                      <w:kern w:val="0"/>
                      <w:szCs w:val="21"/>
                    </w:rPr>
                    <w:t>≧</w:t>
                  </w:r>
                  <w:r>
                    <w:rPr>
                      <w:kern w:val="0"/>
                      <w:szCs w:val="21"/>
                    </w:rPr>
                    <w:t>3，﹤6</w:t>
                  </w:r>
                </w:p>
              </w:tc>
              <w:tc>
                <w:tcPr>
                  <w:tcW w:w="905" w:type="pct"/>
                  <w:vAlign w:val="center"/>
                </w:tcPr>
                <w:p>
                  <w:pPr>
                    <w:pStyle w:val="57"/>
                    <w:rPr>
                      <w:kern w:val="0"/>
                      <w:szCs w:val="21"/>
                    </w:rPr>
                  </w:pPr>
                  <w:r>
                    <w:rPr>
                      <w:rFonts w:hAnsi="宋体"/>
                      <w:kern w:val="0"/>
                      <w:szCs w:val="21"/>
                    </w:rPr>
                    <w:t>≧</w:t>
                  </w:r>
                  <w:r>
                    <w:rPr>
                      <w:kern w:val="0"/>
                      <w:szCs w:val="21"/>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37" w:type="pct"/>
                  <w:vAlign w:val="center"/>
                </w:tcPr>
                <w:p>
                  <w:pPr>
                    <w:pStyle w:val="57"/>
                    <w:rPr>
                      <w:kern w:val="0"/>
                      <w:szCs w:val="21"/>
                    </w:rPr>
                  </w:pPr>
                  <w:r>
                    <w:rPr>
                      <w:kern w:val="0"/>
                      <w:szCs w:val="21"/>
                    </w:rPr>
                    <w:t>最高允许排放浓度</w:t>
                  </w:r>
                  <w:r>
                    <w:rPr>
                      <w:bCs/>
                      <w:kern w:val="0"/>
                      <w:szCs w:val="21"/>
                    </w:rPr>
                    <w:t>mg/m</w:t>
                  </w:r>
                  <w:r>
                    <w:rPr>
                      <w:bCs/>
                      <w:kern w:val="0"/>
                      <w:szCs w:val="21"/>
                      <w:vertAlign w:val="superscript"/>
                    </w:rPr>
                    <w:t>3</w:t>
                  </w:r>
                </w:p>
              </w:tc>
              <w:tc>
                <w:tcPr>
                  <w:tcW w:w="2963" w:type="pct"/>
                  <w:gridSpan w:val="3"/>
                  <w:vAlign w:val="center"/>
                </w:tcPr>
                <w:p>
                  <w:pPr>
                    <w:pStyle w:val="57"/>
                    <w:rPr>
                      <w:rFonts w:eastAsia="Times New Roman"/>
                      <w:kern w:val="0"/>
                      <w:szCs w:val="21"/>
                    </w:rPr>
                  </w:pPr>
                  <w:r>
                    <w:rPr>
                      <w:kern w:val="0"/>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37" w:type="pct"/>
                  <w:vAlign w:val="center"/>
                </w:tcPr>
                <w:p>
                  <w:pPr>
                    <w:pStyle w:val="57"/>
                    <w:rPr>
                      <w:kern w:val="0"/>
                      <w:szCs w:val="21"/>
                    </w:rPr>
                  </w:pPr>
                  <w:r>
                    <w:rPr>
                      <w:kern w:val="0"/>
                      <w:szCs w:val="21"/>
                    </w:rPr>
                    <w:t>净化设施最低去除率%</w:t>
                  </w:r>
                </w:p>
              </w:tc>
              <w:tc>
                <w:tcPr>
                  <w:tcW w:w="1029" w:type="pct"/>
                  <w:vAlign w:val="center"/>
                </w:tcPr>
                <w:p>
                  <w:pPr>
                    <w:pStyle w:val="57"/>
                    <w:rPr>
                      <w:kern w:val="0"/>
                      <w:szCs w:val="21"/>
                    </w:rPr>
                  </w:pPr>
                  <w:r>
                    <w:rPr>
                      <w:kern w:val="0"/>
                      <w:szCs w:val="21"/>
                    </w:rPr>
                    <w:t>60</w:t>
                  </w:r>
                </w:p>
              </w:tc>
              <w:tc>
                <w:tcPr>
                  <w:tcW w:w="1029" w:type="pct"/>
                  <w:vAlign w:val="center"/>
                </w:tcPr>
                <w:p>
                  <w:pPr>
                    <w:pStyle w:val="57"/>
                    <w:rPr>
                      <w:kern w:val="0"/>
                      <w:szCs w:val="21"/>
                    </w:rPr>
                  </w:pPr>
                  <w:r>
                    <w:rPr>
                      <w:kern w:val="0"/>
                      <w:szCs w:val="21"/>
                    </w:rPr>
                    <w:t>75</w:t>
                  </w:r>
                </w:p>
              </w:tc>
              <w:tc>
                <w:tcPr>
                  <w:tcW w:w="905" w:type="pct"/>
                  <w:vAlign w:val="center"/>
                </w:tcPr>
                <w:p>
                  <w:pPr>
                    <w:pStyle w:val="57"/>
                    <w:rPr>
                      <w:kern w:val="0"/>
                      <w:szCs w:val="21"/>
                    </w:rPr>
                  </w:pPr>
                  <w:r>
                    <w:rPr>
                      <w:kern w:val="0"/>
                      <w:szCs w:val="21"/>
                    </w:rPr>
                    <w:t>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pPr>
                    <w:pStyle w:val="57"/>
                    <w:rPr>
                      <w:rFonts w:eastAsia="Times New Roman"/>
                      <w:kern w:val="0"/>
                      <w:szCs w:val="21"/>
                    </w:rPr>
                  </w:pPr>
                  <w:r>
                    <w:rPr>
                      <w:kern w:val="0"/>
                      <w:szCs w:val="21"/>
                    </w:rPr>
                    <w:t>注：单个灶头基准排风量为2000</w:t>
                  </w:r>
                  <w:r>
                    <w:rPr>
                      <w:bCs/>
                      <w:kern w:val="0"/>
                      <w:szCs w:val="21"/>
                    </w:rPr>
                    <w:t>m</w:t>
                  </w:r>
                  <w:r>
                    <w:rPr>
                      <w:bCs/>
                      <w:kern w:val="0"/>
                      <w:szCs w:val="21"/>
                      <w:vertAlign w:val="superscript"/>
                    </w:rPr>
                    <w:t>3</w:t>
                  </w:r>
                  <w:r>
                    <w:rPr>
                      <w:kern w:val="0"/>
                      <w:szCs w:val="21"/>
                    </w:rPr>
                    <w:t>/h</w:t>
                  </w:r>
                </w:p>
              </w:tc>
            </w:tr>
          </w:tbl>
          <w:p>
            <w:pPr>
              <w:jc w:val="center"/>
              <w:rPr>
                <w:rFonts w:eastAsiaTheme="minorEastAsia"/>
                <w:sz w:val="24"/>
              </w:rPr>
            </w:pPr>
          </w:p>
          <w:p>
            <w:pPr>
              <w:pStyle w:val="55"/>
              <w:ind w:firstLine="482"/>
              <w:rPr>
                <w:rFonts w:ascii="Times New Roman" w:eastAsiaTheme="minorEastAsia"/>
                <w:b/>
              </w:rPr>
            </w:pPr>
            <w:r>
              <w:rPr>
                <w:rFonts w:ascii="Times New Roman" w:eastAsiaTheme="minorEastAsia"/>
                <w:b/>
              </w:rPr>
              <w:t>2、水污染物排放标准</w:t>
            </w:r>
          </w:p>
          <w:p>
            <w:pPr>
              <w:pStyle w:val="55"/>
              <w:rPr>
                <w:rFonts w:ascii="Times New Roman" w:eastAsiaTheme="minorEastAsia"/>
              </w:rPr>
            </w:pPr>
            <w:r>
              <w:rPr>
                <w:rFonts w:ascii="Times New Roman" w:eastAsiaTheme="minorEastAsia"/>
              </w:rPr>
              <w:t>本项目生活污水排放执行</w:t>
            </w:r>
            <w:r>
              <w:rPr>
                <w:rStyle w:val="47"/>
                <w:rFonts w:hint="default" w:ascii="Times New Roman"/>
                <w:color w:val="auto"/>
              </w:rPr>
              <w:t>《污水综合排放标准》（</w:t>
            </w:r>
            <w:r>
              <w:rPr>
                <w:rStyle w:val="37"/>
                <w:rFonts w:hint="default" w:ascii="Times New Roman"/>
                <w:color w:val="auto"/>
              </w:rPr>
              <w:t>GB8978-1996</w:t>
            </w:r>
            <w:r>
              <w:rPr>
                <w:rStyle w:val="47"/>
                <w:rFonts w:hint="default" w:ascii="Times New Roman"/>
                <w:color w:val="auto"/>
              </w:rPr>
              <w:t>）三级标准，标准值见下表</w:t>
            </w:r>
            <w:r>
              <w:rPr>
                <w:rFonts w:ascii="Times New Roman" w:eastAsiaTheme="minorEastAsia"/>
              </w:rPr>
              <w:t>。</w:t>
            </w:r>
          </w:p>
          <w:p>
            <w:pPr>
              <w:pStyle w:val="36"/>
              <w:spacing w:before="96" w:after="24"/>
              <w:rPr>
                <w:rFonts w:eastAsiaTheme="minorEastAsia"/>
              </w:rPr>
            </w:pPr>
            <w:r>
              <w:rPr>
                <w:rFonts w:eastAsiaTheme="minorEastAsia"/>
              </w:rPr>
              <w:t>表1</w:t>
            </w:r>
            <w:r>
              <w:rPr>
                <w:rFonts w:hint="eastAsia" w:eastAsiaTheme="minorEastAsia"/>
              </w:rPr>
              <w:t>3</w:t>
            </w:r>
            <w:r>
              <w:rPr>
                <w:rFonts w:eastAsiaTheme="minorEastAsia"/>
              </w:rPr>
              <w:t xml:space="preserve">    《污水综合排放标准》（GB8978-1996）三级标准</w:t>
            </w:r>
          </w:p>
          <w:tbl>
            <w:tblPr>
              <w:tblStyle w:val="1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3261"/>
              <w:gridCol w:w="38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3" w:type="pct"/>
                  <w:vAlign w:val="center"/>
                </w:tcPr>
                <w:p>
                  <w:pPr>
                    <w:pStyle w:val="57"/>
                    <w:rPr>
                      <w:rFonts w:eastAsiaTheme="minorEastAsia"/>
                    </w:rPr>
                  </w:pPr>
                  <w:r>
                    <w:rPr>
                      <w:rFonts w:eastAsiaTheme="minorEastAsia"/>
                    </w:rPr>
                    <w:t>序号</w:t>
                  </w:r>
                </w:p>
              </w:tc>
              <w:tc>
                <w:tcPr>
                  <w:tcW w:w="2045" w:type="pct"/>
                  <w:vAlign w:val="center"/>
                </w:tcPr>
                <w:p>
                  <w:pPr>
                    <w:pStyle w:val="57"/>
                    <w:rPr>
                      <w:rFonts w:eastAsiaTheme="minorEastAsia"/>
                    </w:rPr>
                  </w:pPr>
                  <w:r>
                    <w:rPr>
                      <w:rFonts w:eastAsiaTheme="minorEastAsia"/>
                    </w:rPr>
                    <w:t>项目</w:t>
                  </w:r>
                </w:p>
              </w:tc>
              <w:tc>
                <w:tcPr>
                  <w:tcW w:w="2412" w:type="pct"/>
                  <w:vAlign w:val="center"/>
                </w:tcPr>
                <w:p>
                  <w:pPr>
                    <w:pStyle w:val="57"/>
                    <w:rPr>
                      <w:rFonts w:eastAsiaTheme="minorEastAsia"/>
                    </w:rPr>
                  </w:pPr>
                  <w:r>
                    <w:rPr>
                      <w:rFonts w:hint="eastAsia" w:eastAsiaTheme="minorEastAsia"/>
                    </w:rPr>
                    <w:t>标准限值要求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3" w:type="pct"/>
                  <w:vAlign w:val="center"/>
                </w:tcPr>
                <w:p>
                  <w:pPr>
                    <w:pStyle w:val="57"/>
                    <w:rPr>
                      <w:rFonts w:eastAsiaTheme="minorEastAsia"/>
                    </w:rPr>
                  </w:pPr>
                  <w:r>
                    <w:rPr>
                      <w:rFonts w:eastAsiaTheme="minorEastAsia"/>
                    </w:rPr>
                    <w:t>1</w:t>
                  </w:r>
                </w:p>
              </w:tc>
              <w:tc>
                <w:tcPr>
                  <w:tcW w:w="2045" w:type="pct"/>
                  <w:vAlign w:val="center"/>
                </w:tcPr>
                <w:p>
                  <w:pPr>
                    <w:pStyle w:val="57"/>
                    <w:rPr>
                      <w:rFonts w:eastAsiaTheme="minorEastAsia"/>
                    </w:rPr>
                  </w:pPr>
                  <w:r>
                    <w:rPr>
                      <w:rFonts w:eastAsiaTheme="minorEastAsia"/>
                    </w:rPr>
                    <w:t>P</w:t>
                  </w:r>
                  <w:r>
                    <w:rPr>
                      <w:rFonts w:hint="eastAsia" w:eastAsiaTheme="minorEastAsia"/>
                    </w:rPr>
                    <w:t>H</w:t>
                  </w:r>
                </w:p>
              </w:tc>
              <w:tc>
                <w:tcPr>
                  <w:tcW w:w="2412" w:type="pct"/>
                  <w:vAlign w:val="center"/>
                </w:tcPr>
                <w:p>
                  <w:pPr>
                    <w:pStyle w:val="57"/>
                    <w:rPr>
                      <w:rFonts w:eastAsiaTheme="minorEastAsia"/>
                    </w:rPr>
                  </w:pPr>
                  <w:r>
                    <w:rPr>
                      <w:rFonts w:hint="eastAsia" w:eastAsiaTheme="minorEastAsia"/>
                    </w:rPr>
                    <w:t>6</w:t>
                  </w:r>
                  <w:r>
                    <w:rPr>
                      <w:rFonts w:hint="eastAsia" w:asciiTheme="minorEastAsia" w:hAnsiTheme="minorEastAsia" w:eastAsiaTheme="minorEastAsia"/>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3" w:type="pct"/>
                  <w:vAlign w:val="center"/>
                </w:tcPr>
                <w:p>
                  <w:pPr>
                    <w:pStyle w:val="57"/>
                    <w:rPr>
                      <w:rFonts w:eastAsiaTheme="minorEastAsia"/>
                    </w:rPr>
                  </w:pPr>
                  <w:r>
                    <w:rPr>
                      <w:rFonts w:eastAsiaTheme="minorEastAsia"/>
                    </w:rPr>
                    <w:t>2</w:t>
                  </w:r>
                </w:p>
              </w:tc>
              <w:tc>
                <w:tcPr>
                  <w:tcW w:w="2045" w:type="pct"/>
                  <w:vAlign w:val="center"/>
                </w:tcPr>
                <w:p>
                  <w:pPr>
                    <w:pStyle w:val="57"/>
                    <w:rPr>
                      <w:rFonts w:eastAsiaTheme="minorEastAsia"/>
                    </w:rPr>
                  </w:pPr>
                  <w:r>
                    <w:rPr>
                      <w:rFonts w:hint="eastAsia" w:eastAsiaTheme="minorEastAsia"/>
                    </w:rPr>
                    <w:t>SS</w:t>
                  </w:r>
                </w:p>
              </w:tc>
              <w:tc>
                <w:tcPr>
                  <w:tcW w:w="2412" w:type="pct"/>
                  <w:vAlign w:val="center"/>
                </w:tcPr>
                <w:p>
                  <w:pPr>
                    <w:pStyle w:val="57"/>
                    <w:rPr>
                      <w:rFonts w:eastAsiaTheme="minorEastAsia"/>
                    </w:rPr>
                  </w:pPr>
                  <w:r>
                    <w:rPr>
                      <w:rFonts w:hint="eastAsia" w:eastAsiaTheme="minorEastAsia"/>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3" w:type="pct"/>
                  <w:vAlign w:val="center"/>
                </w:tcPr>
                <w:p>
                  <w:pPr>
                    <w:pStyle w:val="57"/>
                    <w:rPr>
                      <w:rFonts w:eastAsiaTheme="minorEastAsia"/>
                    </w:rPr>
                  </w:pPr>
                  <w:r>
                    <w:rPr>
                      <w:rFonts w:eastAsiaTheme="minorEastAsia"/>
                    </w:rPr>
                    <w:t>3</w:t>
                  </w:r>
                </w:p>
              </w:tc>
              <w:tc>
                <w:tcPr>
                  <w:tcW w:w="2045" w:type="pct"/>
                  <w:vAlign w:val="center"/>
                </w:tcPr>
                <w:p>
                  <w:pPr>
                    <w:pStyle w:val="57"/>
                    <w:rPr>
                      <w:rFonts w:eastAsiaTheme="minorEastAsia"/>
                    </w:rPr>
                  </w:pPr>
                  <w:r>
                    <w:rPr>
                      <w:rFonts w:hint="eastAsia" w:eastAsiaTheme="minorEastAsia"/>
                    </w:rPr>
                    <w:t>BOD</w:t>
                  </w:r>
                  <w:r>
                    <w:rPr>
                      <w:rFonts w:hint="eastAsia" w:eastAsiaTheme="minorEastAsia"/>
                      <w:vertAlign w:val="subscript"/>
                    </w:rPr>
                    <w:t>5</w:t>
                  </w:r>
                </w:p>
              </w:tc>
              <w:tc>
                <w:tcPr>
                  <w:tcW w:w="2412" w:type="pct"/>
                  <w:vAlign w:val="center"/>
                </w:tcPr>
                <w:p>
                  <w:pPr>
                    <w:pStyle w:val="57"/>
                    <w:rPr>
                      <w:rFonts w:eastAsiaTheme="minorEastAsia"/>
                    </w:rPr>
                  </w:pPr>
                  <w:r>
                    <w:rPr>
                      <w:rFonts w:hint="eastAsia" w:eastAsiaTheme="minorEastAsia"/>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3" w:type="pct"/>
                  <w:vAlign w:val="center"/>
                </w:tcPr>
                <w:p>
                  <w:pPr>
                    <w:pStyle w:val="57"/>
                    <w:rPr>
                      <w:rFonts w:eastAsiaTheme="minorEastAsia"/>
                    </w:rPr>
                  </w:pPr>
                  <w:r>
                    <w:rPr>
                      <w:rFonts w:hint="eastAsia" w:eastAsiaTheme="minorEastAsia"/>
                    </w:rPr>
                    <w:t>4</w:t>
                  </w:r>
                </w:p>
              </w:tc>
              <w:tc>
                <w:tcPr>
                  <w:tcW w:w="2045" w:type="pct"/>
                  <w:vAlign w:val="center"/>
                </w:tcPr>
                <w:p>
                  <w:pPr>
                    <w:pStyle w:val="57"/>
                    <w:rPr>
                      <w:rFonts w:eastAsiaTheme="minorEastAsia"/>
                    </w:rPr>
                  </w:pPr>
                  <w:r>
                    <w:rPr>
                      <w:rFonts w:hint="eastAsia" w:eastAsiaTheme="minorEastAsia"/>
                    </w:rPr>
                    <w:t>COD</w:t>
                  </w:r>
                </w:p>
              </w:tc>
              <w:tc>
                <w:tcPr>
                  <w:tcW w:w="2412" w:type="pct"/>
                  <w:vAlign w:val="center"/>
                </w:tcPr>
                <w:p>
                  <w:pPr>
                    <w:pStyle w:val="57"/>
                    <w:rPr>
                      <w:rFonts w:eastAsiaTheme="minorEastAsia"/>
                    </w:rPr>
                  </w:pPr>
                  <w:r>
                    <w:rPr>
                      <w:rFonts w:hint="eastAsia" w:eastAsiaTheme="minorEastAsia"/>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3" w:type="pct"/>
                  <w:vAlign w:val="center"/>
                </w:tcPr>
                <w:p>
                  <w:pPr>
                    <w:pStyle w:val="57"/>
                    <w:rPr>
                      <w:rFonts w:eastAsiaTheme="minorEastAsia"/>
                    </w:rPr>
                  </w:pPr>
                  <w:r>
                    <w:rPr>
                      <w:rFonts w:hint="eastAsia" w:eastAsiaTheme="minorEastAsia"/>
                    </w:rPr>
                    <w:t>5</w:t>
                  </w:r>
                </w:p>
              </w:tc>
              <w:tc>
                <w:tcPr>
                  <w:tcW w:w="2045" w:type="pct"/>
                  <w:vAlign w:val="center"/>
                </w:tcPr>
                <w:p>
                  <w:pPr>
                    <w:pStyle w:val="57"/>
                    <w:rPr>
                      <w:rFonts w:eastAsiaTheme="minorEastAsia"/>
                    </w:rPr>
                  </w:pPr>
                  <w:r>
                    <w:rPr>
                      <w:rFonts w:hint="eastAsia" w:eastAsiaTheme="minorEastAsia"/>
                    </w:rPr>
                    <w:t>动植物油</w:t>
                  </w:r>
                </w:p>
              </w:tc>
              <w:tc>
                <w:tcPr>
                  <w:tcW w:w="2412" w:type="pct"/>
                  <w:vAlign w:val="center"/>
                </w:tcPr>
                <w:p>
                  <w:pPr>
                    <w:pStyle w:val="57"/>
                    <w:rPr>
                      <w:rFonts w:eastAsiaTheme="minorEastAsia"/>
                    </w:rPr>
                  </w:pPr>
                  <w:r>
                    <w:rPr>
                      <w:rFonts w:hint="eastAsia" w:eastAsiaTheme="minorEastAsia"/>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3" w:type="pct"/>
                  <w:vAlign w:val="center"/>
                </w:tcPr>
                <w:p>
                  <w:pPr>
                    <w:pStyle w:val="57"/>
                    <w:rPr>
                      <w:rFonts w:eastAsiaTheme="minorEastAsia"/>
                    </w:rPr>
                  </w:pPr>
                  <w:r>
                    <w:rPr>
                      <w:rFonts w:hint="eastAsia" w:eastAsiaTheme="minorEastAsia"/>
                    </w:rPr>
                    <w:t>6</w:t>
                  </w:r>
                </w:p>
              </w:tc>
              <w:tc>
                <w:tcPr>
                  <w:tcW w:w="2045" w:type="pct"/>
                  <w:vAlign w:val="center"/>
                </w:tcPr>
                <w:p>
                  <w:pPr>
                    <w:pStyle w:val="57"/>
                    <w:rPr>
                      <w:rFonts w:eastAsiaTheme="minorEastAsia"/>
                    </w:rPr>
                  </w:pPr>
                  <w:r>
                    <w:rPr>
                      <w:rFonts w:hint="eastAsia" w:eastAsiaTheme="minorEastAsia"/>
                    </w:rPr>
                    <w:t>氨氮</w:t>
                  </w:r>
                </w:p>
              </w:tc>
              <w:tc>
                <w:tcPr>
                  <w:tcW w:w="2412" w:type="pct"/>
                  <w:vAlign w:val="center"/>
                </w:tcPr>
                <w:p>
                  <w:pPr>
                    <w:pStyle w:val="57"/>
                    <w:rPr>
                      <w:rFonts w:eastAsiaTheme="minorEastAsia"/>
                    </w:rPr>
                  </w:pPr>
                  <w:r>
                    <w:rPr>
                      <w:rFonts w:hint="eastAsia" w:eastAsiaTheme="minorEastAsia"/>
                    </w:rPr>
                    <w:t>-</w:t>
                  </w:r>
                </w:p>
              </w:tc>
            </w:tr>
          </w:tbl>
          <w:p>
            <w:pPr>
              <w:pStyle w:val="8"/>
            </w:pPr>
          </w:p>
          <w:p>
            <w:pPr>
              <w:pStyle w:val="55"/>
              <w:ind w:firstLine="482"/>
              <w:rPr>
                <w:rFonts w:ascii="Times New Roman" w:eastAsiaTheme="minorEastAsia"/>
                <w:b/>
              </w:rPr>
            </w:pPr>
            <w:r>
              <w:rPr>
                <w:rFonts w:ascii="Times New Roman" w:eastAsiaTheme="minorEastAsia"/>
                <w:b/>
              </w:rPr>
              <w:t>3、噪声排放标准</w:t>
            </w:r>
          </w:p>
          <w:p>
            <w:pPr>
              <w:pStyle w:val="31"/>
              <w:ind w:firstLine="480"/>
              <w:rPr>
                <w:rFonts w:eastAsiaTheme="minorEastAsia"/>
                <w:color w:val="auto"/>
              </w:rPr>
            </w:pPr>
            <w:r>
              <w:rPr>
                <w:rFonts w:eastAsiaTheme="minorEastAsia"/>
                <w:color w:val="auto"/>
              </w:rPr>
              <w:t>施工期噪声执行《建筑施工场界环境噪声排放标准》（GB12523-2011）；运营期噪声执行《工业企业厂界环境噪声排放标准》（GB12348-2008）中的</w:t>
            </w:r>
            <w:r>
              <w:rPr>
                <w:rFonts w:hint="eastAsia" w:eastAsiaTheme="minorEastAsia"/>
                <w:color w:val="auto"/>
              </w:rPr>
              <w:t>2</w:t>
            </w:r>
            <w:r>
              <w:rPr>
                <w:rFonts w:eastAsiaTheme="minorEastAsia"/>
                <w:color w:val="auto"/>
              </w:rPr>
              <w:t>类声标准限值。</w:t>
            </w:r>
          </w:p>
          <w:p>
            <w:pPr>
              <w:pStyle w:val="39"/>
              <w:rPr>
                <w:rFonts w:eastAsiaTheme="minorEastAsia"/>
              </w:rPr>
            </w:pPr>
            <w:r>
              <w:rPr>
                <w:rFonts w:eastAsiaTheme="minorEastAsia"/>
              </w:rPr>
              <w:t>表</w:t>
            </w:r>
            <w:r>
              <w:rPr>
                <w:rFonts w:hint="eastAsia" w:eastAsiaTheme="minorEastAsia"/>
              </w:rPr>
              <w:t>14</w:t>
            </w:r>
            <w:r>
              <w:rPr>
                <w:rFonts w:eastAsiaTheme="minorEastAsia"/>
              </w:rPr>
              <w:t xml:space="preserve">    建筑施工场界环境噪声排放标准</w:t>
            </w:r>
          </w:p>
          <w:tbl>
            <w:tblPr>
              <w:tblStyle w:val="18"/>
              <w:tblW w:w="782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2"/>
              <w:gridCol w:w="1322"/>
              <w:gridCol w:w="1417"/>
              <w:gridCol w:w="41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962" w:type="dxa"/>
                  <w:vMerge w:val="restart"/>
                  <w:vAlign w:val="center"/>
                </w:tcPr>
                <w:p>
                  <w:pPr>
                    <w:pStyle w:val="60"/>
                    <w:rPr>
                      <w:rFonts w:eastAsiaTheme="minorEastAsia"/>
                    </w:rPr>
                  </w:pPr>
                  <w:r>
                    <w:rPr>
                      <w:rFonts w:eastAsiaTheme="minorEastAsia"/>
                    </w:rPr>
                    <w:t>限值</w:t>
                  </w:r>
                </w:p>
              </w:tc>
              <w:tc>
                <w:tcPr>
                  <w:tcW w:w="1322" w:type="dxa"/>
                  <w:vAlign w:val="center"/>
                </w:tcPr>
                <w:p>
                  <w:pPr>
                    <w:pStyle w:val="60"/>
                    <w:rPr>
                      <w:rFonts w:eastAsiaTheme="minorEastAsia"/>
                    </w:rPr>
                  </w:pPr>
                  <w:r>
                    <w:rPr>
                      <w:rFonts w:eastAsiaTheme="minorEastAsia"/>
                    </w:rPr>
                    <w:t>昼间</w:t>
                  </w:r>
                </w:p>
              </w:tc>
              <w:tc>
                <w:tcPr>
                  <w:tcW w:w="1417" w:type="dxa"/>
                  <w:vAlign w:val="center"/>
                </w:tcPr>
                <w:p>
                  <w:pPr>
                    <w:pStyle w:val="60"/>
                    <w:rPr>
                      <w:rFonts w:eastAsiaTheme="minorEastAsia"/>
                    </w:rPr>
                  </w:pPr>
                  <w:r>
                    <w:rPr>
                      <w:rFonts w:eastAsiaTheme="minorEastAsia"/>
                    </w:rPr>
                    <w:t>夜间</w:t>
                  </w:r>
                </w:p>
              </w:tc>
              <w:tc>
                <w:tcPr>
                  <w:tcW w:w="4128" w:type="dxa"/>
                  <w:vAlign w:val="center"/>
                </w:tcPr>
                <w:p>
                  <w:pPr>
                    <w:pStyle w:val="60"/>
                    <w:rPr>
                      <w:rFonts w:eastAsiaTheme="minorEastAsia"/>
                    </w:rPr>
                  </w:pPr>
                  <w:r>
                    <w:rPr>
                      <w:rFonts w:eastAsiaTheme="minorEastAsia"/>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53" w:hRule="atLeast"/>
              </w:trPr>
              <w:tc>
                <w:tcPr>
                  <w:tcW w:w="962" w:type="dxa"/>
                  <w:vMerge w:val="continue"/>
                  <w:vAlign w:val="center"/>
                </w:tcPr>
                <w:p>
                  <w:pPr>
                    <w:pStyle w:val="60"/>
                    <w:rPr>
                      <w:rFonts w:eastAsiaTheme="minorEastAsia"/>
                    </w:rPr>
                  </w:pPr>
                </w:p>
              </w:tc>
              <w:tc>
                <w:tcPr>
                  <w:tcW w:w="1322" w:type="dxa"/>
                  <w:vAlign w:val="center"/>
                </w:tcPr>
                <w:p>
                  <w:pPr>
                    <w:pStyle w:val="60"/>
                    <w:rPr>
                      <w:rFonts w:eastAsiaTheme="minorEastAsia"/>
                    </w:rPr>
                  </w:pPr>
                  <w:r>
                    <w:rPr>
                      <w:rFonts w:eastAsiaTheme="minorEastAsia"/>
                    </w:rPr>
                    <w:t>70 dB（A）</w:t>
                  </w:r>
                </w:p>
              </w:tc>
              <w:tc>
                <w:tcPr>
                  <w:tcW w:w="1417" w:type="dxa"/>
                  <w:vAlign w:val="center"/>
                </w:tcPr>
                <w:p>
                  <w:pPr>
                    <w:pStyle w:val="60"/>
                    <w:rPr>
                      <w:rFonts w:eastAsiaTheme="minorEastAsia"/>
                    </w:rPr>
                  </w:pPr>
                  <w:r>
                    <w:rPr>
                      <w:rFonts w:eastAsiaTheme="minorEastAsia"/>
                    </w:rPr>
                    <w:t>55 dB（A）</w:t>
                  </w:r>
                </w:p>
              </w:tc>
              <w:tc>
                <w:tcPr>
                  <w:tcW w:w="4128" w:type="dxa"/>
                  <w:vAlign w:val="center"/>
                </w:tcPr>
                <w:p>
                  <w:pPr>
                    <w:pStyle w:val="60"/>
                    <w:rPr>
                      <w:rFonts w:eastAsiaTheme="minorEastAsia"/>
                    </w:rPr>
                  </w:pPr>
                  <w:r>
                    <w:rPr>
                      <w:rFonts w:eastAsiaTheme="minorEastAsia"/>
                    </w:rPr>
                    <w:t>《建筑施工场界环境噪声排放标准》（GB12523-2011）</w:t>
                  </w:r>
                </w:p>
              </w:tc>
            </w:tr>
          </w:tbl>
          <w:p>
            <w:pPr>
              <w:pStyle w:val="39"/>
              <w:rPr>
                <w:rFonts w:eastAsiaTheme="minorEastAsia"/>
              </w:rPr>
            </w:pPr>
            <w:r>
              <w:rPr>
                <w:rFonts w:eastAsiaTheme="minorEastAsia"/>
              </w:rPr>
              <w:t>表</w:t>
            </w:r>
            <w:r>
              <w:rPr>
                <w:rFonts w:hint="eastAsia" w:eastAsiaTheme="minorEastAsia"/>
              </w:rPr>
              <w:t>15</w:t>
            </w:r>
            <w:r>
              <w:rPr>
                <w:rFonts w:eastAsiaTheme="minorEastAsia"/>
              </w:rPr>
              <w:t xml:space="preserve">    工业企业厂界环境噪声排放标准</w:t>
            </w:r>
          </w:p>
          <w:tbl>
            <w:tblPr>
              <w:tblStyle w:val="18"/>
              <w:tblW w:w="782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1278"/>
              <w:gridCol w:w="1407"/>
              <w:gridCol w:w="41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5" w:hRule="atLeast"/>
              </w:trPr>
              <w:tc>
                <w:tcPr>
                  <w:tcW w:w="1006" w:type="dxa"/>
                  <w:vAlign w:val="center"/>
                </w:tcPr>
                <w:p>
                  <w:pPr>
                    <w:pStyle w:val="60"/>
                    <w:rPr>
                      <w:rFonts w:eastAsiaTheme="minorEastAsia"/>
                    </w:rPr>
                  </w:pPr>
                  <w:r>
                    <w:rPr>
                      <w:rFonts w:eastAsiaTheme="minorEastAsia"/>
                    </w:rPr>
                    <w:t>类别</w:t>
                  </w:r>
                </w:p>
              </w:tc>
              <w:tc>
                <w:tcPr>
                  <w:tcW w:w="1278" w:type="dxa"/>
                  <w:vAlign w:val="center"/>
                </w:tcPr>
                <w:p>
                  <w:pPr>
                    <w:pStyle w:val="60"/>
                    <w:rPr>
                      <w:rFonts w:eastAsiaTheme="minorEastAsia"/>
                    </w:rPr>
                  </w:pPr>
                  <w:r>
                    <w:rPr>
                      <w:rFonts w:eastAsiaTheme="minorEastAsia"/>
                    </w:rPr>
                    <w:t>昼间</w:t>
                  </w:r>
                </w:p>
              </w:tc>
              <w:tc>
                <w:tcPr>
                  <w:tcW w:w="1407" w:type="dxa"/>
                  <w:vAlign w:val="center"/>
                </w:tcPr>
                <w:p>
                  <w:pPr>
                    <w:pStyle w:val="60"/>
                    <w:rPr>
                      <w:rFonts w:eastAsiaTheme="minorEastAsia"/>
                    </w:rPr>
                  </w:pPr>
                  <w:r>
                    <w:rPr>
                      <w:rFonts w:eastAsiaTheme="minorEastAsia"/>
                    </w:rPr>
                    <w:t>夜间</w:t>
                  </w:r>
                </w:p>
              </w:tc>
              <w:tc>
                <w:tcPr>
                  <w:tcW w:w="4138" w:type="dxa"/>
                  <w:vAlign w:val="center"/>
                </w:tcPr>
                <w:p>
                  <w:pPr>
                    <w:pStyle w:val="60"/>
                    <w:rPr>
                      <w:rFonts w:eastAsiaTheme="minorEastAsia"/>
                    </w:rPr>
                  </w:pPr>
                  <w:r>
                    <w:rPr>
                      <w:rFonts w:eastAsiaTheme="minorEastAsia"/>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06" w:type="dxa"/>
                  <w:vAlign w:val="center"/>
                </w:tcPr>
                <w:p>
                  <w:pPr>
                    <w:pStyle w:val="60"/>
                    <w:rPr>
                      <w:rFonts w:eastAsiaTheme="minorEastAsia"/>
                    </w:rPr>
                  </w:pPr>
                  <w:r>
                    <w:rPr>
                      <w:rFonts w:hint="eastAsia" w:eastAsiaTheme="minorEastAsia"/>
                    </w:rPr>
                    <w:t>2</w:t>
                  </w:r>
                </w:p>
              </w:tc>
              <w:tc>
                <w:tcPr>
                  <w:tcW w:w="1278" w:type="dxa"/>
                  <w:vAlign w:val="center"/>
                </w:tcPr>
                <w:p>
                  <w:pPr>
                    <w:pStyle w:val="60"/>
                    <w:rPr>
                      <w:rFonts w:eastAsiaTheme="minorEastAsia"/>
                    </w:rPr>
                  </w:pPr>
                  <w:r>
                    <w:rPr>
                      <w:rFonts w:hint="eastAsia" w:eastAsiaTheme="minorEastAsia"/>
                    </w:rPr>
                    <w:t>60</w:t>
                  </w:r>
                  <w:r>
                    <w:rPr>
                      <w:rFonts w:eastAsiaTheme="minorEastAsia"/>
                    </w:rPr>
                    <w:t>B（A）</w:t>
                  </w:r>
                </w:p>
              </w:tc>
              <w:tc>
                <w:tcPr>
                  <w:tcW w:w="1407" w:type="dxa"/>
                  <w:vAlign w:val="center"/>
                </w:tcPr>
                <w:p>
                  <w:pPr>
                    <w:pStyle w:val="60"/>
                    <w:rPr>
                      <w:rFonts w:eastAsiaTheme="minorEastAsia"/>
                    </w:rPr>
                  </w:pPr>
                  <w:r>
                    <w:rPr>
                      <w:rFonts w:hint="eastAsia" w:eastAsiaTheme="minorEastAsia"/>
                    </w:rPr>
                    <w:t>50</w:t>
                  </w:r>
                  <w:r>
                    <w:rPr>
                      <w:rFonts w:eastAsiaTheme="minorEastAsia"/>
                    </w:rPr>
                    <w:t>B（A）</w:t>
                  </w:r>
                </w:p>
              </w:tc>
              <w:tc>
                <w:tcPr>
                  <w:tcW w:w="4138" w:type="dxa"/>
                  <w:vAlign w:val="center"/>
                </w:tcPr>
                <w:p>
                  <w:pPr>
                    <w:pStyle w:val="60"/>
                    <w:rPr>
                      <w:rFonts w:eastAsiaTheme="minorEastAsia"/>
                    </w:rPr>
                  </w:pPr>
                  <w:r>
                    <w:rPr>
                      <w:rFonts w:eastAsiaTheme="minorEastAsia"/>
                    </w:rPr>
                    <w:t>《工业企业厂界环境噪声排放标准》（GB12348-2008）</w:t>
                  </w:r>
                </w:p>
              </w:tc>
            </w:tr>
          </w:tbl>
          <w:p>
            <w:pPr>
              <w:pStyle w:val="31"/>
              <w:ind w:firstLine="480"/>
              <w:rPr>
                <w:rFonts w:eastAsiaTheme="minorEastAsia"/>
                <w:color w:val="auto"/>
              </w:rPr>
            </w:pPr>
          </w:p>
          <w:p>
            <w:pPr>
              <w:pStyle w:val="31"/>
              <w:ind w:firstLine="480"/>
              <w:rPr>
                <w:rFonts w:eastAsiaTheme="minorEastAsia"/>
                <w:color w:val="auto"/>
              </w:rPr>
            </w:pPr>
            <w:r>
              <w:rPr>
                <w:rFonts w:eastAsiaTheme="minorEastAsia"/>
                <w:color w:val="auto"/>
              </w:rPr>
              <w:t>4一般工业固体废物处置执行《一般工业固体废物贮存和填埋污染控制标准》（GB18599-2020）中相关规定。</w:t>
            </w:r>
          </w:p>
          <w:p>
            <w:pPr>
              <w:pStyle w:val="31"/>
              <w:ind w:firstLine="480"/>
              <w:rPr>
                <w:rFonts w:eastAsiaTheme="minorEastAsia"/>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vAlign w:val="center"/>
          </w:tcPr>
          <w:p>
            <w:pPr>
              <w:adjustRightInd w:val="0"/>
              <w:snapToGrid w:val="0"/>
              <w:jc w:val="center"/>
              <w:rPr>
                <w:rFonts w:eastAsiaTheme="minorEastAsia"/>
                <w:kern w:val="0"/>
                <w:szCs w:val="21"/>
              </w:rPr>
            </w:pPr>
            <w:r>
              <w:rPr>
                <w:rFonts w:eastAsiaTheme="minorEastAsia"/>
                <w:kern w:val="0"/>
                <w:szCs w:val="21"/>
              </w:rPr>
              <w:t>总量</w:t>
            </w:r>
          </w:p>
          <w:p>
            <w:pPr>
              <w:adjustRightInd w:val="0"/>
              <w:snapToGrid w:val="0"/>
              <w:jc w:val="center"/>
              <w:rPr>
                <w:rFonts w:eastAsiaTheme="minorEastAsia"/>
                <w:kern w:val="0"/>
                <w:szCs w:val="21"/>
              </w:rPr>
            </w:pPr>
            <w:r>
              <w:rPr>
                <w:rFonts w:eastAsiaTheme="minorEastAsia"/>
                <w:kern w:val="0"/>
                <w:szCs w:val="21"/>
              </w:rPr>
              <w:t>控制</w:t>
            </w:r>
          </w:p>
          <w:p>
            <w:pPr>
              <w:adjustRightInd w:val="0"/>
              <w:snapToGrid w:val="0"/>
              <w:jc w:val="center"/>
              <w:rPr>
                <w:rFonts w:eastAsiaTheme="minorEastAsia"/>
                <w:kern w:val="0"/>
                <w:szCs w:val="21"/>
              </w:rPr>
            </w:pPr>
            <w:r>
              <w:rPr>
                <w:rFonts w:eastAsiaTheme="minorEastAsia"/>
                <w:kern w:val="0"/>
                <w:szCs w:val="21"/>
              </w:rPr>
              <w:t>指标</w:t>
            </w:r>
          </w:p>
        </w:tc>
        <w:tc>
          <w:tcPr>
            <w:tcW w:w="8190" w:type="dxa"/>
            <w:vAlign w:val="center"/>
          </w:tcPr>
          <w:p>
            <w:pPr>
              <w:spacing w:line="360" w:lineRule="auto"/>
              <w:ind w:firstLine="480" w:firstLineChars="200"/>
              <w:rPr>
                <w:rFonts w:eastAsiaTheme="minorEastAsia"/>
                <w:kern w:val="0"/>
              </w:rPr>
            </w:pPr>
            <w:r>
              <w:rPr>
                <w:rFonts w:eastAsiaTheme="minorEastAsia"/>
                <w:kern w:val="0"/>
                <w:sz w:val="24"/>
              </w:rPr>
              <w:t>本项目</w:t>
            </w:r>
            <w:r>
              <w:rPr>
                <w:kern w:val="0"/>
                <w:sz w:val="24"/>
              </w:rPr>
              <w:t>生活污水</w:t>
            </w:r>
            <w:r>
              <w:rPr>
                <w:rFonts w:hint="eastAsia"/>
                <w:kern w:val="0"/>
                <w:sz w:val="24"/>
              </w:rPr>
              <w:t>经化粪池处理后定期清掏拉运至胜丰镇新红村一社农村生活污水处理厂处理，所以COD和氨氮总量计入胜丰镇新红村一社农村生活污水处理厂。</w:t>
            </w:r>
          </w:p>
          <w:p>
            <w:pPr>
              <w:pStyle w:val="31"/>
              <w:ind w:firstLine="480"/>
              <w:rPr>
                <w:rFonts w:eastAsiaTheme="minorEastAsia"/>
                <w:color w:val="auto"/>
                <w:kern w:val="0"/>
              </w:rPr>
            </w:pPr>
            <w:r>
              <w:rPr>
                <w:rFonts w:hint="eastAsia" w:eastAsiaTheme="minorEastAsia"/>
                <w:color w:val="auto"/>
                <w:kern w:val="0"/>
              </w:rPr>
              <w:t>根据大气产排污计算</w:t>
            </w:r>
            <w:r>
              <w:rPr>
                <w:rFonts w:eastAsiaTheme="minorEastAsia"/>
                <w:color w:val="auto"/>
                <w:kern w:val="0"/>
              </w:rPr>
              <w:t>，本项目排放SO</w:t>
            </w:r>
            <w:r>
              <w:rPr>
                <w:rFonts w:eastAsiaTheme="minorEastAsia"/>
                <w:color w:val="auto"/>
                <w:kern w:val="0"/>
                <w:vertAlign w:val="subscript"/>
              </w:rPr>
              <w:t>2</w:t>
            </w:r>
            <w:r>
              <w:rPr>
                <w:rFonts w:eastAsiaTheme="minorEastAsia"/>
                <w:color w:val="auto"/>
                <w:kern w:val="0"/>
              </w:rPr>
              <w:t>：</w:t>
            </w:r>
            <w:r>
              <w:rPr>
                <w:rFonts w:hint="eastAsia" w:eastAsiaTheme="minorEastAsia"/>
                <w:color w:val="auto"/>
                <w:szCs w:val="21"/>
              </w:rPr>
              <w:t>0.068</w:t>
            </w:r>
            <w:r>
              <w:rPr>
                <w:rFonts w:eastAsiaTheme="minorEastAsia"/>
                <w:color w:val="auto"/>
                <w:kern w:val="0"/>
              </w:rPr>
              <w:t>t/a</w:t>
            </w:r>
            <w:r>
              <w:rPr>
                <w:rFonts w:hint="eastAsia" w:eastAsiaTheme="minorEastAsia"/>
                <w:color w:val="auto"/>
                <w:kern w:val="0"/>
              </w:rPr>
              <w:t>，</w:t>
            </w:r>
            <w:r>
              <w:rPr>
                <w:rFonts w:eastAsiaTheme="minorEastAsia"/>
                <w:color w:val="auto"/>
                <w:kern w:val="0"/>
              </w:rPr>
              <w:t>NO</w:t>
            </w:r>
            <w:r>
              <w:rPr>
                <w:rFonts w:eastAsiaTheme="minorEastAsia"/>
                <w:color w:val="auto"/>
                <w:kern w:val="0"/>
                <w:vertAlign w:val="subscript"/>
              </w:rPr>
              <w:t>X</w:t>
            </w:r>
            <w:r>
              <w:rPr>
                <w:rFonts w:eastAsiaTheme="minorEastAsia"/>
                <w:color w:val="auto"/>
                <w:kern w:val="0"/>
              </w:rPr>
              <w:t>：</w:t>
            </w:r>
            <w:r>
              <w:rPr>
                <w:rFonts w:hint="eastAsia" w:eastAsiaTheme="minorEastAsia"/>
                <w:color w:val="auto"/>
                <w:szCs w:val="21"/>
              </w:rPr>
              <w:t>1.387</w:t>
            </w:r>
            <w:r>
              <w:rPr>
                <w:rFonts w:eastAsiaTheme="minorEastAsia"/>
                <w:color w:val="auto"/>
                <w:kern w:val="0"/>
              </w:rPr>
              <w:t>t/a。</w:t>
            </w:r>
          </w:p>
          <w:p>
            <w:pPr>
              <w:pStyle w:val="31"/>
              <w:ind w:firstLine="480"/>
              <w:rPr>
                <w:rFonts w:eastAsiaTheme="minorEastAsia"/>
                <w:color w:val="auto"/>
                <w:kern w:val="0"/>
              </w:rPr>
            </w:pPr>
          </w:p>
          <w:p>
            <w:pPr>
              <w:pStyle w:val="31"/>
              <w:ind w:firstLine="480"/>
              <w:rPr>
                <w:rFonts w:eastAsiaTheme="minorEastAsia"/>
                <w:color w:val="auto"/>
                <w:kern w:val="0"/>
              </w:rPr>
            </w:pPr>
          </w:p>
          <w:p>
            <w:pPr>
              <w:pStyle w:val="31"/>
              <w:ind w:firstLine="480"/>
              <w:rPr>
                <w:rFonts w:eastAsiaTheme="minorEastAsia"/>
                <w:color w:val="auto"/>
                <w:kern w:val="0"/>
              </w:rPr>
            </w:pPr>
          </w:p>
          <w:p>
            <w:pPr>
              <w:pStyle w:val="31"/>
              <w:ind w:firstLine="480"/>
              <w:rPr>
                <w:rFonts w:eastAsiaTheme="minorEastAsia"/>
                <w:color w:val="auto"/>
                <w:kern w:val="0"/>
              </w:rPr>
            </w:pPr>
          </w:p>
          <w:p>
            <w:pPr>
              <w:pStyle w:val="31"/>
              <w:ind w:firstLine="480"/>
              <w:rPr>
                <w:rFonts w:eastAsiaTheme="minorEastAsia"/>
                <w:color w:val="auto"/>
                <w:kern w:val="0"/>
              </w:rPr>
            </w:pPr>
          </w:p>
          <w:p>
            <w:pPr>
              <w:pStyle w:val="31"/>
              <w:ind w:firstLine="480"/>
              <w:rPr>
                <w:rFonts w:eastAsiaTheme="minorEastAsia"/>
                <w:color w:val="auto"/>
                <w:kern w:val="0"/>
              </w:rPr>
            </w:pPr>
          </w:p>
          <w:p>
            <w:pPr>
              <w:pStyle w:val="31"/>
              <w:ind w:firstLine="480"/>
              <w:rPr>
                <w:rFonts w:eastAsiaTheme="minorEastAsia"/>
                <w:color w:val="auto"/>
                <w:kern w:val="0"/>
              </w:rPr>
            </w:pPr>
          </w:p>
          <w:p>
            <w:pPr>
              <w:pStyle w:val="31"/>
              <w:ind w:firstLine="480"/>
              <w:rPr>
                <w:rFonts w:eastAsiaTheme="minorEastAsia"/>
                <w:color w:val="auto"/>
                <w:kern w:val="0"/>
              </w:rPr>
            </w:pPr>
          </w:p>
          <w:p>
            <w:pPr>
              <w:pStyle w:val="31"/>
              <w:ind w:firstLine="480"/>
              <w:rPr>
                <w:rFonts w:eastAsiaTheme="minorEastAsia"/>
                <w:color w:val="auto"/>
                <w:kern w:val="0"/>
              </w:rPr>
            </w:pPr>
          </w:p>
          <w:p>
            <w:pPr>
              <w:pStyle w:val="31"/>
              <w:ind w:firstLine="480"/>
              <w:rPr>
                <w:rFonts w:eastAsiaTheme="minorEastAsia"/>
                <w:color w:val="auto"/>
                <w:kern w:val="0"/>
              </w:rPr>
            </w:pPr>
          </w:p>
          <w:p>
            <w:pPr>
              <w:pStyle w:val="31"/>
              <w:ind w:firstLine="480"/>
              <w:rPr>
                <w:rFonts w:eastAsiaTheme="minorEastAsia"/>
                <w:color w:val="auto"/>
                <w:kern w:val="0"/>
              </w:rPr>
            </w:pPr>
          </w:p>
          <w:p>
            <w:pPr>
              <w:pStyle w:val="31"/>
              <w:ind w:firstLine="480"/>
              <w:rPr>
                <w:rFonts w:eastAsiaTheme="minorEastAsia"/>
                <w:color w:val="auto"/>
                <w:kern w:val="0"/>
              </w:rPr>
            </w:pPr>
          </w:p>
          <w:p>
            <w:pPr>
              <w:pStyle w:val="31"/>
              <w:ind w:firstLine="480"/>
              <w:rPr>
                <w:rFonts w:eastAsiaTheme="minorEastAsia"/>
                <w:color w:val="auto"/>
                <w:kern w:val="0"/>
              </w:rPr>
            </w:pPr>
          </w:p>
          <w:p>
            <w:pPr>
              <w:pStyle w:val="31"/>
              <w:ind w:firstLine="480"/>
              <w:rPr>
                <w:rFonts w:eastAsiaTheme="minorEastAsia"/>
                <w:color w:val="auto"/>
                <w:kern w:val="0"/>
              </w:rPr>
            </w:pPr>
          </w:p>
          <w:p>
            <w:pPr>
              <w:pStyle w:val="31"/>
              <w:ind w:firstLine="480"/>
              <w:rPr>
                <w:rFonts w:eastAsiaTheme="minorEastAsia"/>
                <w:color w:val="auto"/>
                <w:kern w:val="0"/>
              </w:rPr>
            </w:pPr>
          </w:p>
          <w:p>
            <w:pPr>
              <w:pStyle w:val="31"/>
              <w:ind w:firstLine="480"/>
              <w:rPr>
                <w:rFonts w:eastAsiaTheme="minorEastAsia"/>
                <w:color w:val="auto"/>
                <w:kern w:val="0"/>
              </w:rPr>
            </w:pPr>
          </w:p>
          <w:p>
            <w:pPr>
              <w:pStyle w:val="31"/>
              <w:ind w:left="0" w:leftChars="0" w:firstLine="0" w:firstLineChars="0"/>
              <w:rPr>
                <w:rFonts w:eastAsiaTheme="minorEastAsia"/>
                <w:color w:val="auto"/>
                <w:kern w:val="0"/>
              </w:rPr>
            </w:pPr>
          </w:p>
        </w:tc>
      </w:tr>
    </w:tbl>
    <w:p>
      <w:pPr>
        <w:pStyle w:val="14"/>
        <w:keepNext w:val="0"/>
        <w:keepLines w:val="0"/>
        <w:pageBreakBefore w:val="0"/>
        <w:widowControl/>
        <w:kinsoku/>
        <w:wordWrap/>
        <w:overflowPunct/>
        <w:topLinePunct w:val="0"/>
        <w:autoSpaceDE/>
        <w:autoSpaceDN/>
        <w:bidi w:val="0"/>
        <w:adjustRightInd/>
        <w:snapToGrid/>
        <w:ind w:firstLine="0"/>
        <w:jc w:val="center"/>
        <w:textAlignment w:val="auto"/>
        <w:outlineLvl w:val="0"/>
        <w:rPr>
          <w:rFonts w:ascii="Times New Roman" w:hAnsi="Times New Roman" w:eastAsiaTheme="minorEastAsia"/>
          <w:snapToGrid w:val="0"/>
          <w:sz w:val="30"/>
          <w:szCs w:val="30"/>
        </w:rPr>
      </w:pPr>
      <w:r>
        <w:rPr>
          <w:rFonts w:ascii="Times New Roman" w:hAnsi="Times New Roman" w:eastAsiaTheme="minorEastAsia"/>
          <w:snapToGrid w:val="0"/>
          <w:sz w:val="36"/>
          <w:szCs w:val="36"/>
        </w:rPr>
        <w:br w:type="page"/>
      </w:r>
      <w:r>
        <w:rPr>
          <w:rFonts w:ascii="Times New Roman" w:hAnsi="Times New Roman" w:eastAsiaTheme="minorEastAsia"/>
          <w:snapToGrid w:val="0"/>
          <w:sz w:val="30"/>
          <w:szCs w:val="30"/>
        </w:rPr>
        <w:t>四、主要环境影响和保护措施</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81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9" w:hRule="atLeast"/>
          <w:jc w:val="center"/>
        </w:trPr>
        <w:tc>
          <w:tcPr>
            <w:tcW w:w="705" w:type="dxa"/>
            <w:tcMar>
              <w:left w:w="28" w:type="dxa"/>
              <w:right w:w="28" w:type="dxa"/>
            </w:tcMar>
            <w:vAlign w:val="center"/>
          </w:tcPr>
          <w:p>
            <w:pPr>
              <w:pStyle w:val="14"/>
              <w:adjustRightInd w:val="0"/>
              <w:snapToGrid w:val="0"/>
              <w:spacing w:before="0" w:beforeAutospacing="0" w:after="0" w:afterAutospacing="0"/>
              <w:jc w:val="center"/>
              <w:rPr>
                <w:rFonts w:ascii="Times New Roman" w:hAnsi="Times New Roman" w:eastAsiaTheme="minorEastAsia"/>
                <w:kern w:val="2"/>
                <w:sz w:val="21"/>
                <w:szCs w:val="21"/>
              </w:rPr>
            </w:pPr>
            <w:r>
              <w:rPr>
                <w:rFonts w:ascii="Times New Roman" w:hAnsi="Times New Roman" w:eastAsiaTheme="minorEastAsia"/>
                <w:kern w:val="2"/>
                <w:sz w:val="21"/>
                <w:szCs w:val="21"/>
              </w:rPr>
              <w:t>施工</w:t>
            </w:r>
          </w:p>
          <w:p>
            <w:pPr>
              <w:pStyle w:val="14"/>
              <w:adjustRightInd w:val="0"/>
              <w:snapToGrid w:val="0"/>
              <w:spacing w:before="0" w:beforeAutospacing="0" w:after="0" w:afterAutospacing="0"/>
              <w:jc w:val="center"/>
              <w:rPr>
                <w:rFonts w:ascii="Times New Roman" w:hAnsi="Times New Roman" w:eastAsiaTheme="minorEastAsia"/>
                <w:kern w:val="2"/>
                <w:sz w:val="21"/>
                <w:szCs w:val="21"/>
              </w:rPr>
            </w:pPr>
            <w:r>
              <w:rPr>
                <w:rFonts w:ascii="Times New Roman" w:hAnsi="Times New Roman" w:eastAsiaTheme="minorEastAsia"/>
                <w:kern w:val="2"/>
                <w:sz w:val="21"/>
                <w:szCs w:val="21"/>
              </w:rPr>
              <w:t>期环</w:t>
            </w:r>
          </w:p>
          <w:p>
            <w:pPr>
              <w:pStyle w:val="14"/>
              <w:adjustRightInd w:val="0"/>
              <w:snapToGrid w:val="0"/>
              <w:spacing w:before="0" w:beforeAutospacing="0" w:after="0" w:afterAutospacing="0"/>
              <w:jc w:val="center"/>
              <w:rPr>
                <w:rFonts w:ascii="Times New Roman" w:hAnsi="Times New Roman" w:eastAsiaTheme="minorEastAsia"/>
                <w:kern w:val="2"/>
                <w:sz w:val="21"/>
                <w:szCs w:val="21"/>
              </w:rPr>
            </w:pPr>
            <w:r>
              <w:rPr>
                <w:rFonts w:ascii="Times New Roman" w:hAnsi="Times New Roman" w:eastAsiaTheme="minorEastAsia"/>
                <w:kern w:val="2"/>
                <w:sz w:val="21"/>
                <w:szCs w:val="21"/>
              </w:rPr>
              <w:t>境保</w:t>
            </w:r>
          </w:p>
          <w:p>
            <w:pPr>
              <w:pStyle w:val="14"/>
              <w:adjustRightInd w:val="0"/>
              <w:snapToGrid w:val="0"/>
              <w:spacing w:before="0" w:beforeAutospacing="0" w:after="0" w:afterAutospacing="0"/>
              <w:jc w:val="center"/>
              <w:rPr>
                <w:rFonts w:ascii="Times New Roman" w:hAnsi="Times New Roman" w:eastAsiaTheme="minorEastAsia"/>
                <w:kern w:val="2"/>
                <w:sz w:val="21"/>
                <w:szCs w:val="21"/>
              </w:rPr>
            </w:pPr>
            <w:r>
              <w:rPr>
                <w:rFonts w:ascii="Times New Roman" w:hAnsi="Times New Roman" w:eastAsiaTheme="minorEastAsia"/>
                <w:kern w:val="2"/>
                <w:sz w:val="21"/>
                <w:szCs w:val="21"/>
              </w:rPr>
              <w:t>护措</w:t>
            </w:r>
          </w:p>
          <w:p>
            <w:pPr>
              <w:pStyle w:val="14"/>
              <w:adjustRightInd w:val="0"/>
              <w:snapToGrid w:val="0"/>
              <w:spacing w:before="0" w:beforeAutospacing="0" w:after="0" w:afterAutospacing="0"/>
              <w:jc w:val="center"/>
              <w:rPr>
                <w:rFonts w:ascii="Times New Roman" w:hAnsi="Times New Roman" w:eastAsiaTheme="minorEastAsia"/>
                <w:bCs/>
                <w:kern w:val="2"/>
                <w:sz w:val="21"/>
                <w:szCs w:val="21"/>
              </w:rPr>
            </w:pPr>
            <w:r>
              <w:rPr>
                <w:rFonts w:ascii="Times New Roman" w:hAnsi="Times New Roman" w:eastAsiaTheme="minorEastAsia"/>
                <w:kern w:val="2"/>
                <w:sz w:val="21"/>
                <w:szCs w:val="21"/>
              </w:rPr>
              <w:t>施</w:t>
            </w:r>
          </w:p>
        </w:tc>
        <w:tc>
          <w:tcPr>
            <w:tcW w:w="8157" w:type="dxa"/>
            <w:vAlign w:val="center"/>
          </w:tcPr>
          <w:p>
            <w:pPr>
              <w:pStyle w:val="31"/>
              <w:ind w:firstLine="482"/>
              <w:rPr>
                <w:rFonts w:eastAsiaTheme="minorEastAsia"/>
                <w:b/>
                <w:color w:val="auto"/>
              </w:rPr>
            </w:pPr>
            <w:r>
              <w:rPr>
                <w:rFonts w:eastAsiaTheme="minorEastAsia"/>
                <w:b/>
                <w:color w:val="auto"/>
              </w:rPr>
              <w:t>废气：</w:t>
            </w:r>
          </w:p>
          <w:p>
            <w:pPr>
              <w:pStyle w:val="25"/>
              <w:ind w:firstLine="480"/>
              <w:rPr>
                <w:rStyle w:val="47"/>
                <w:rFonts w:hint="default"/>
                <w:color w:val="auto"/>
              </w:rPr>
            </w:pPr>
            <w:r>
              <w:rPr>
                <w:rStyle w:val="47"/>
                <w:rFonts w:hint="default"/>
                <w:color w:val="auto"/>
              </w:rPr>
              <w:t>（1）施工扬尘：</w:t>
            </w:r>
          </w:p>
          <w:p>
            <w:pPr>
              <w:pStyle w:val="25"/>
              <w:ind w:firstLine="480"/>
              <w:rPr>
                <w:rStyle w:val="47"/>
                <w:rFonts w:hint="default" w:ascii="Times New Roman" w:hAnsi="Times New Roman"/>
                <w:color w:val="auto"/>
              </w:rPr>
            </w:pPr>
            <w:r>
              <w:rPr>
                <w:rStyle w:val="47"/>
                <w:rFonts w:hint="default" w:ascii="Times New Roman"/>
                <w:color w:val="auto"/>
              </w:rPr>
              <w:t>施工扬尘主要产生于建筑施工材料运输、装卸与搅合，另外物料堆放期间由于风吹亦会引起扬尘，其主要污染物为</w:t>
            </w:r>
            <w:r>
              <w:rPr>
                <w:rStyle w:val="37"/>
                <w:rFonts w:hint="default" w:ascii="Times New Roman"/>
                <w:color w:val="auto"/>
              </w:rPr>
              <w:t>TSP</w:t>
            </w:r>
            <w:r>
              <w:rPr>
                <w:rStyle w:val="47"/>
                <w:rFonts w:hint="default" w:ascii="Times New Roman"/>
                <w:color w:val="auto"/>
              </w:rPr>
              <w:t>，具体主要由以下因素产生：</w:t>
            </w:r>
            <w:r>
              <w:rPr>
                <w:rStyle w:val="47"/>
                <w:rFonts w:hint="default"/>
                <w:color w:val="auto"/>
              </w:rPr>
              <w:t>①</w:t>
            </w:r>
            <w:r>
              <w:rPr>
                <w:rStyle w:val="47"/>
                <w:rFonts w:hint="default" w:ascii="Times New Roman"/>
                <w:color w:val="auto"/>
              </w:rPr>
              <w:t>施工场地内地表的挖掘与重整；</w:t>
            </w:r>
            <w:r>
              <w:rPr>
                <w:rStyle w:val="47"/>
                <w:rFonts w:hint="default"/>
                <w:color w:val="auto"/>
              </w:rPr>
              <w:t>②</w:t>
            </w:r>
            <w:r>
              <w:rPr>
                <w:rStyle w:val="47"/>
                <w:rFonts w:hint="default" w:ascii="Times New Roman"/>
                <w:color w:val="auto"/>
              </w:rPr>
              <w:t>土方和建材的运输，特别是干燥有风的天气，运输车辆在施工场地内和裸露施工面表面行驶，以及运输车辆带到建设场地周围道路上的泥土被过往车辆反复扬起；</w:t>
            </w:r>
            <w:r>
              <w:rPr>
                <w:rStyle w:val="47"/>
                <w:rFonts w:hint="default"/>
                <w:color w:val="auto"/>
              </w:rPr>
              <w:t>③</w:t>
            </w:r>
            <w:r>
              <w:rPr>
                <w:rStyle w:val="47"/>
                <w:rFonts w:hint="default" w:ascii="Times New Roman"/>
                <w:color w:val="auto"/>
              </w:rPr>
              <w:t>施工材料堆放因未采取覆盖措施被风吹起。施工现场近地面的粉尘量受施工机械、施工方式、管理方式及天气、地表土质等多种因素影响。在正常风况下，施工活动产生的粉尘在施工区域近地面环境空气中</w:t>
            </w:r>
            <w:r>
              <w:rPr>
                <w:rStyle w:val="37"/>
                <w:rFonts w:hint="default" w:ascii="Times New Roman"/>
                <w:color w:val="auto"/>
              </w:rPr>
              <w:t>TSP</w:t>
            </w:r>
            <w:r>
              <w:rPr>
                <w:rStyle w:val="47"/>
                <w:rFonts w:hint="default" w:ascii="Times New Roman"/>
                <w:color w:val="auto"/>
              </w:rPr>
              <w:t>浓度为</w:t>
            </w:r>
            <w:r>
              <w:rPr>
                <w:rStyle w:val="37"/>
                <w:rFonts w:hint="default" w:ascii="Times New Roman"/>
                <w:color w:val="auto"/>
              </w:rPr>
              <w:t>1.5</w:t>
            </w:r>
            <w:r>
              <w:rPr>
                <w:rStyle w:val="47"/>
                <w:rFonts w:hint="default" w:ascii="Times New Roman"/>
                <w:color w:val="auto"/>
              </w:rPr>
              <w:t>～</w:t>
            </w:r>
            <w:r>
              <w:rPr>
                <w:rStyle w:val="37"/>
                <w:rFonts w:hint="default" w:ascii="Times New Roman"/>
                <w:color w:val="auto"/>
              </w:rPr>
              <w:t>30mg/</w:t>
            </w:r>
            <w:r>
              <w:rPr>
                <w:rStyle w:val="37"/>
                <w:rFonts w:hint="default" w:ascii="Times New Roman" w:eastAsiaTheme="minorEastAsia"/>
                <w:color w:val="auto"/>
              </w:rPr>
              <w:t>m</w:t>
            </w:r>
            <w:r>
              <w:rPr>
                <w:rStyle w:val="37"/>
                <w:rFonts w:hint="default" w:ascii="Times New Roman" w:eastAsiaTheme="minorEastAsia"/>
                <w:color w:val="auto"/>
                <w:vertAlign w:val="superscript"/>
              </w:rPr>
              <w:t>3</w:t>
            </w:r>
            <w:r>
              <w:rPr>
                <w:rStyle w:val="47"/>
                <w:rFonts w:hint="default" w:ascii="Times New Roman"/>
                <w:color w:val="auto"/>
              </w:rPr>
              <w:t>。采取围挡、覆盖和湿法作业等措施后，可大大地减轻起尘量。</w:t>
            </w:r>
          </w:p>
          <w:p>
            <w:pPr>
              <w:pStyle w:val="25"/>
              <w:ind w:firstLine="480"/>
              <w:rPr>
                <w:rStyle w:val="47"/>
                <w:rFonts w:hint="default" w:ascii="Times New Roman" w:hAnsi="Times New Roman"/>
                <w:color w:val="auto"/>
              </w:rPr>
            </w:pPr>
            <w:r>
              <w:rPr>
                <w:rStyle w:val="47"/>
                <w:rFonts w:hint="default"/>
                <w:color w:val="auto"/>
              </w:rPr>
              <w:t>⑵</w:t>
            </w:r>
            <w:r>
              <w:rPr>
                <w:rStyle w:val="47"/>
                <w:rFonts w:hint="default" w:ascii="Times New Roman"/>
                <w:color w:val="auto"/>
              </w:rPr>
              <w:t>燃油废气</w:t>
            </w:r>
          </w:p>
          <w:p>
            <w:pPr>
              <w:pStyle w:val="25"/>
              <w:ind w:firstLine="480"/>
              <w:rPr>
                <w:rStyle w:val="47"/>
                <w:rFonts w:hint="default" w:ascii="Times New Roman" w:hAnsi="Times New Roman"/>
                <w:color w:val="auto"/>
              </w:rPr>
            </w:pPr>
            <w:r>
              <w:rPr>
                <w:rStyle w:val="47"/>
                <w:rFonts w:hint="default" w:ascii="Times New Roman"/>
                <w:color w:val="auto"/>
              </w:rPr>
              <w:t>各类燃油动力机械</w:t>
            </w:r>
            <w:r>
              <w:rPr>
                <w:rStyle w:val="37"/>
                <w:rFonts w:hint="default" w:ascii="Times New Roman"/>
                <w:color w:val="auto"/>
              </w:rPr>
              <w:t>(</w:t>
            </w:r>
            <w:r>
              <w:rPr>
                <w:rStyle w:val="47"/>
                <w:rFonts w:hint="default" w:ascii="Times New Roman"/>
                <w:color w:val="auto"/>
              </w:rPr>
              <w:t>运输车辆、挖掘机、推土机等</w:t>
            </w:r>
            <w:r>
              <w:rPr>
                <w:rStyle w:val="37"/>
                <w:rFonts w:hint="default" w:ascii="Times New Roman"/>
                <w:color w:val="auto"/>
              </w:rPr>
              <w:t>)</w:t>
            </w:r>
            <w:r>
              <w:rPr>
                <w:rStyle w:val="47"/>
                <w:rFonts w:hint="default" w:ascii="Times New Roman"/>
                <w:color w:val="auto"/>
              </w:rPr>
              <w:t>在场地开挖、场地平整、建筑施工、物料运输、装卸等施工作业时，会排出燃油废气，主要污染物为</w:t>
            </w:r>
            <w:r>
              <w:rPr>
                <w:rStyle w:val="37"/>
                <w:rFonts w:hint="default" w:ascii="Times New Roman"/>
                <w:color w:val="auto"/>
              </w:rPr>
              <w:t>CO</w:t>
            </w:r>
            <w:r>
              <w:rPr>
                <w:rStyle w:val="47"/>
                <w:rFonts w:hint="default" w:ascii="Times New Roman"/>
                <w:color w:val="auto"/>
              </w:rPr>
              <w:t>、</w:t>
            </w:r>
            <w:r>
              <w:rPr>
                <w:rStyle w:val="37"/>
                <w:rFonts w:hint="default" w:ascii="Times New Roman"/>
                <w:color w:val="auto"/>
              </w:rPr>
              <w:t>NOx</w:t>
            </w:r>
            <w:r>
              <w:rPr>
                <w:rStyle w:val="47"/>
                <w:rFonts w:hint="default" w:ascii="Times New Roman"/>
                <w:color w:val="auto"/>
              </w:rPr>
              <w:t>、</w:t>
            </w:r>
            <w:r>
              <w:rPr>
                <w:rStyle w:val="37"/>
                <w:rFonts w:hint="default" w:ascii="Times New Roman"/>
                <w:color w:val="auto"/>
              </w:rPr>
              <w:t>THC</w:t>
            </w:r>
            <w:r>
              <w:rPr>
                <w:rStyle w:val="47"/>
                <w:rFonts w:hint="default" w:ascii="Times New Roman"/>
                <w:color w:val="auto"/>
              </w:rPr>
              <w:t>等有害污染物。</w:t>
            </w:r>
          </w:p>
          <w:p>
            <w:pPr>
              <w:pStyle w:val="25"/>
              <w:ind w:firstLine="480"/>
              <w:rPr>
                <w:rStyle w:val="47"/>
                <w:rFonts w:hint="default" w:ascii="Times New Roman" w:hAnsi="Times New Roman"/>
                <w:color w:val="auto"/>
              </w:rPr>
            </w:pPr>
            <w:r>
              <w:rPr>
                <w:rStyle w:val="47"/>
                <w:rFonts w:hint="default"/>
                <w:color w:val="auto"/>
              </w:rPr>
              <w:t>⑶</w:t>
            </w:r>
            <w:r>
              <w:rPr>
                <w:rStyle w:val="47"/>
                <w:rFonts w:hint="default" w:ascii="Times New Roman"/>
                <w:color w:val="auto"/>
              </w:rPr>
              <w:t>装修废气</w:t>
            </w:r>
          </w:p>
          <w:p>
            <w:pPr>
              <w:pStyle w:val="25"/>
              <w:ind w:firstLine="480"/>
              <w:rPr>
                <w:rStyle w:val="47"/>
                <w:rFonts w:hint="default" w:ascii="Times New Roman" w:hAnsi="Times New Roman" w:eastAsiaTheme="minorEastAsia"/>
                <w:color w:val="auto"/>
              </w:rPr>
            </w:pPr>
            <w:r>
              <w:rPr>
                <w:rStyle w:val="47"/>
                <w:rFonts w:hint="default" w:ascii="Times New Roman"/>
                <w:color w:val="auto"/>
              </w:rPr>
              <w:t>该项目主体工程完工后，投入使用前，需经过短暂的集中的装修时间，在喷涂油漆、涂料等装饰材料时将会产生油漆废气、甲醛废气等有毒废气并无组织排放，施工期装修过程中应优先选用环保涂料，以尽量减少对环境的污染影响。</w:t>
            </w:r>
          </w:p>
          <w:p>
            <w:pPr>
              <w:pStyle w:val="31"/>
              <w:ind w:firstLine="480"/>
              <w:rPr>
                <w:rFonts w:eastAsiaTheme="minorEastAsia"/>
                <w:color w:val="auto"/>
              </w:rPr>
            </w:pPr>
            <w:r>
              <w:rPr>
                <w:rStyle w:val="47"/>
                <w:rFonts w:hint="default" w:ascii="Times New Roman" w:hAnsi="Times New Roman" w:eastAsiaTheme="minorEastAsia"/>
                <w:color w:val="auto"/>
              </w:rPr>
              <w:t>综上所述，只要加强管理，切实落实好相应措施，采取这些相应的措施后，施工扬尘对周围环境不会产生较大的影响。</w:t>
            </w:r>
          </w:p>
          <w:p>
            <w:pPr>
              <w:pStyle w:val="31"/>
              <w:ind w:firstLine="482"/>
              <w:rPr>
                <w:rFonts w:eastAsiaTheme="minorEastAsia"/>
                <w:b/>
                <w:color w:val="auto"/>
              </w:rPr>
            </w:pPr>
            <w:r>
              <w:rPr>
                <w:rFonts w:eastAsiaTheme="minorEastAsia"/>
                <w:b/>
                <w:color w:val="auto"/>
              </w:rPr>
              <w:t>噪声：</w:t>
            </w:r>
          </w:p>
          <w:p>
            <w:pPr>
              <w:pStyle w:val="31"/>
              <w:ind w:firstLine="480"/>
              <w:rPr>
                <w:rStyle w:val="47"/>
                <w:rFonts w:hint="default" w:ascii="Times New Roman" w:hAnsi="Times New Roman" w:eastAsiaTheme="minorEastAsia"/>
                <w:color w:val="auto"/>
              </w:rPr>
            </w:pPr>
            <w:r>
              <w:rPr>
                <w:rStyle w:val="47"/>
                <w:rFonts w:hint="default" w:ascii="Times New Roman" w:hAnsi="Times New Roman" w:eastAsiaTheme="minorEastAsia"/>
                <w:color w:val="auto"/>
              </w:rPr>
              <w:t>本项目施工期间产生的主要噪声有施工设备和运输车辆产生的噪声。采取措施如下：</w:t>
            </w:r>
          </w:p>
          <w:p>
            <w:pPr>
              <w:pStyle w:val="31"/>
              <w:ind w:firstLine="480"/>
              <w:rPr>
                <w:rStyle w:val="47"/>
                <w:rFonts w:hint="default" w:ascii="Times New Roman" w:hAnsi="Times New Roman" w:eastAsiaTheme="minorEastAsia"/>
                <w:color w:val="auto"/>
              </w:rPr>
            </w:pPr>
            <w:r>
              <w:rPr>
                <w:rStyle w:val="47"/>
                <w:rFonts w:hint="default" w:ascii="Times New Roman" w:hAnsi="Times New Roman" w:eastAsiaTheme="minorEastAsia"/>
                <w:color w:val="auto"/>
              </w:rPr>
              <w:fldChar w:fldCharType="begin"/>
            </w:r>
            <w:r>
              <w:rPr>
                <w:rStyle w:val="47"/>
                <w:rFonts w:hint="default" w:ascii="Times New Roman" w:hAnsi="Times New Roman" w:eastAsiaTheme="minorEastAsia"/>
                <w:color w:val="auto"/>
              </w:rPr>
              <w:instrText xml:space="preserve"> = 1 \* GB3 </w:instrText>
            </w:r>
            <w:r>
              <w:rPr>
                <w:rStyle w:val="47"/>
                <w:rFonts w:hint="default" w:ascii="Times New Roman" w:hAnsi="Times New Roman" w:eastAsiaTheme="minorEastAsia"/>
                <w:color w:val="auto"/>
              </w:rPr>
              <w:fldChar w:fldCharType="separate"/>
            </w:r>
            <w:r>
              <w:rPr>
                <w:rStyle w:val="47"/>
                <w:rFonts w:hint="default" w:hAnsi="Times New Roman" w:asciiTheme="minorEastAsia" w:eastAsiaTheme="minorEastAsia"/>
                <w:color w:val="auto"/>
              </w:rPr>
              <w:t>①</w:t>
            </w:r>
            <w:r>
              <w:rPr>
                <w:rStyle w:val="47"/>
                <w:rFonts w:hint="default" w:ascii="Times New Roman" w:hAnsi="Times New Roman" w:eastAsiaTheme="minorEastAsia"/>
                <w:color w:val="auto"/>
              </w:rPr>
              <w:fldChar w:fldCharType="end"/>
            </w:r>
            <w:r>
              <w:rPr>
                <w:rStyle w:val="47"/>
                <w:rFonts w:hint="default" w:ascii="Times New Roman" w:hAnsi="Times New Roman" w:eastAsiaTheme="minorEastAsia"/>
                <w:color w:val="auto"/>
              </w:rPr>
              <w:t>采用低噪设备；</w:t>
            </w:r>
          </w:p>
          <w:p>
            <w:pPr>
              <w:pStyle w:val="31"/>
              <w:ind w:firstLine="480"/>
              <w:rPr>
                <w:rStyle w:val="47"/>
                <w:rFonts w:hint="default" w:ascii="Times New Roman" w:hAnsi="Times New Roman" w:eastAsiaTheme="minorEastAsia"/>
                <w:color w:val="auto"/>
              </w:rPr>
            </w:pPr>
            <w:r>
              <w:rPr>
                <w:rStyle w:val="47"/>
                <w:rFonts w:hint="default" w:ascii="Times New Roman" w:hAnsi="Times New Roman" w:eastAsiaTheme="minorEastAsia"/>
                <w:color w:val="auto"/>
              </w:rPr>
              <w:fldChar w:fldCharType="begin"/>
            </w:r>
            <w:r>
              <w:rPr>
                <w:rStyle w:val="47"/>
                <w:rFonts w:hint="default" w:ascii="Times New Roman" w:hAnsi="Times New Roman" w:eastAsiaTheme="minorEastAsia"/>
                <w:color w:val="auto"/>
              </w:rPr>
              <w:instrText xml:space="preserve"> = 2 \* GB3 </w:instrText>
            </w:r>
            <w:r>
              <w:rPr>
                <w:rStyle w:val="47"/>
                <w:rFonts w:hint="default" w:ascii="Times New Roman" w:hAnsi="Times New Roman" w:eastAsiaTheme="minorEastAsia"/>
                <w:color w:val="auto"/>
              </w:rPr>
              <w:fldChar w:fldCharType="separate"/>
            </w:r>
            <w:r>
              <w:rPr>
                <w:rStyle w:val="47"/>
                <w:rFonts w:hint="default" w:hAnsi="Times New Roman" w:asciiTheme="minorEastAsia" w:eastAsiaTheme="minorEastAsia"/>
                <w:color w:val="auto"/>
              </w:rPr>
              <w:t>②</w:t>
            </w:r>
            <w:r>
              <w:rPr>
                <w:rStyle w:val="47"/>
                <w:rFonts w:hint="default" w:ascii="Times New Roman" w:hAnsi="Times New Roman" w:eastAsiaTheme="minorEastAsia"/>
                <w:color w:val="auto"/>
              </w:rPr>
              <w:fldChar w:fldCharType="end"/>
            </w:r>
            <w:r>
              <w:rPr>
                <w:rStyle w:val="47"/>
                <w:rFonts w:hint="default" w:ascii="Times New Roman" w:hAnsi="Times New Roman" w:eastAsiaTheme="minorEastAsia"/>
                <w:color w:val="auto"/>
              </w:rPr>
              <w:t>设置隔声构件；</w:t>
            </w:r>
          </w:p>
          <w:p>
            <w:pPr>
              <w:pStyle w:val="31"/>
              <w:ind w:firstLine="480"/>
              <w:rPr>
                <w:rStyle w:val="47"/>
                <w:rFonts w:hint="default" w:ascii="Times New Roman" w:hAnsi="Times New Roman" w:eastAsiaTheme="minorEastAsia"/>
                <w:color w:val="auto"/>
              </w:rPr>
            </w:pPr>
            <w:r>
              <w:rPr>
                <w:rStyle w:val="47"/>
                <w:rFonts w:hint="default" w:ascii="Times New Roman" w:hAnsi="Times New Roman" w:eastAsiaTheme="minorEastAsia"/>
                <w:color w:val="auto"/>
              </w:rPr>
              <w:fldChar w:fldCharType="begin"/>
            </w:r>
            <w:r>
              <w:rPr>
                <w:rStyle w:val="47"/>
                <w:rFonts w:hint="default" w:ascii="Times New Roman" w:hAnsi="Times New Roman" w:eastAsiaTheme="minorEastAsia"/>
                <w:color w:val="auto"/>
              </w:rPr>
              <w:instrText xml:space="preserve"> = 3 \* GB3 </w:instrText>
            </w:r>
            <w:r>
              <w:rPr>
                <w:rStyle w:val="47"/>
                <w:rFonts w:hint="default" w:ascii="Times New Roman" w:hAnsi="Times New Roman" w:eastAsiaTheme="minorEastAsia"/>
                <w:color w:val="auto"/>
              </w:rPr>
              <w:fldChar w:fldCharType="separate"/>
            </w:r>
            <w:r>
              <w:rPr>
                <w:rStyle w:val="47"/>
                <w:rFonts w:hint="default" w:hAnsi="Times New Roman" w:asciiTheme="minorEastAsia" w:eastAsiaTheme="minorEastAsia"/>
                <w:color w:val="auto"/>
              </w:rPr>
              <w:t>③</w:t>
            </w:r>
            <w:r>
              <w:rPr>
                <w:rStyle w:val="47"/>
                <w:rFonts w:hint="default" w:ascii="Times New Roman" w:hAnsi="Times New Roman" w:eastAsiaTheme="minorEastAsia"/>
                <w:color w:val="auto"/>
              </w:rPr>
              <w:fldChar w:fldCharType="end"/>
            </w:r>
            <w:r>
              <w:rPr>
                <w:rStyle w:val="47"/>
                <w:rFonts w:hint="default" w:ascii="Times New Roman" w:hAnsi="Times New Roman" w:eastAsiaTheme="minorEastAsia"/>
                <w:color w:val="auto"/>
              </w:rPr>
              <w:t>控制作业时间；</w:t>
            </w:r>
          </w:p>
          <w:p>
            <w:pPr>
              <w:pStyle w:val="31"/>
              <w:ind w:firstLine="480"/>
              <w:rPr>
                <w:rStyle w:val="47"/>
                <w:rFonts w:hint="default" w:ascii="Times New Roman" w:hAnsi="Times New Roman" w:eastAsiaTheme="minorEastAsia"/>
                <w:color w:val="auto"/>
              </w:rPr>
            </w:pPr>
            <w:r>
              <w:rPr>
                <w:rStyle w:val="47"/>
                <w:rFonts w:hint="default" w:ascii="Times New Roman" w:hAnsi="Times New Roman" w:eastAsiaTheme="minorEastAsia"/>
                <w:color w:val="auto"/>
              </w:rPr>
              <w:fldChar w:fldCharType="begin"/>
            </w:r>
            <w:r>
              <w:rPr>
                <w:rStyle w:val="47"/>
                <w:rFonts w:hint="default" w:ascii="Times New Roman" w:hAnsi="Times New Roman" w:eastAsiaTheme="minorEastAsia"/>
                <w:color w:val="auto"/>
              </w:rPr>
              <w:instrText xml:space="preserve"> = 4 \* GB3 </w:instrText>
            </w:r>
            <w:r>
              <w:rPr>
                <w:rStyle w:val="47"/>
                <w:rFonts w:hint="default" w:ascii="Times New Roman" w:hAnsi="Times New Roman" w:eastAsiaTheme="minorEastAsia"/>
                <w:color w:val="auto"/>
              </w:rPr>
              <w:fldChar w:fldCharType="separate"/>
            </w:r>
            <w:r>
              <w:rPr>
                <w:rStyle w:val="47"/>
                <w:rFonts w:hint="default" w:hAnsi="Times New Roman" w:asciiTheme="minorEastAsia" w:eastAsiaTheme="minorEastAsia"/>
                <w:color w:val="auto"/>
              </w:rPr>
              <w:t>④</w:t>
            </w:r>
            <w:r>
              <w:rPr>
                <w:rStyle w:val="47"/>
                <w:rFonts w:hint="default" w:ascii="Times New Roman" w:hAnsi="Times New Roman" w:eastAsiaTheme="minorEastAsia"/>
                <w:color w:val="auto"/>
              </w:rPr>
              <w:fldChar w:fldCharType="end"/>
            </w:r>
            <w:r>
              <w:rPr>
                <w:rStyle w:val="47"/>
                <w:rFonts w:hint="default" w:ascii="Times New Roman" w:hAnsi="Times New Roman" w:eastAsiaTheme="minorEastAsia"/>
                <w:color w:val="auto"/>
              </w:rPr>
              <w:t>加强环境保护管理部门的管理和监督。</w:t>
            </w:r>
          </w:p>
          <w:p>
            <w:pPr>
              <w:pStyle w:val="31"/>
              <w:ind w:firstLine="480"/>
              <w:rPr>
                <w:rStyle w:val="47"/>
                <w:rFonts w:hint="default" w:ascii="Times New Roman" w:hAnsi="Times New Roman" w:eastAsiaTheme="minorEastAsia"/>
                <w:color w:val="auto"/>
              </w:rPr>
            </w:pPr>
            <w:r>
              <w:rPr>
                <w:rStyle w:val="47"/>
                <w:rFonts w:hint="default" w:ascii="Times New Roman" w:hAnsi="Times New Roman" w:eastAsiaTheme="minorEastAsia"/>
                <w:color w:val="auto"/>
              </w:rPr>
              <w:t>采取上述措施后，可有效降低噪声对周围环境的影响。施工期产生的噪声随着施工期的结束，其对周围环境的影响也会随之消失。</w:t>
            </w:r>
          </w:p>
          <w:p>
            <w:pPr>
              <w:pStyle w:val="31"/>
              <w:ind w:firstLine="482"/>
              <w:rPr>
                <w:rStyle w:val="47"/>
                <w:rFonts w:hint="default" w:ascii="Times New Roman" w:hAnsi="Times New Roman" w:eastAsiaTheme="minorEastAsia"/>
                <w:b/>
                <w:color w:val="auto"/>
              </w:rPr>
            </w:pPr>
            <w:r>
              <w:rPr>
                <w:rStyle w:val="47"/>
                <w:rFonts w:hint="default" w:ascii="Times New Roman" w:hAnsi="Times New Roman" w:eastAsiaTheme="minorEastAsia"/>
                <w:b/>
                <w:color w:val="auto"/>
              </w:rPr>
              <w:t>废水：</w:t>
            </w:r>
          </w:p>
          <w:p>
            <w:pPr>
              <w:pStyle w:val="31"/>
              <w:ind w:firstLine="480"/>
              <w:rPr>
                <w:rStyle w:val="47"/>
                <w:rFonts w:hint="default" w:ascii="Times New Roman" w:hAnsi="Times New Roman" w:eastAsiaTheme="minorEastAsia"/>
                <w:color w:val="auto"/>
              </w:rPr>
            </w:pPr>
            <w:r>
              <w:rPr>
                <w:rStyle w:val="47"/>
                <w:rFonts w:hint="default" w:ascii="Times New Roman" w:hAnsi="Times New Roman" w:eastAsiaTheme="minorEastAsia"/>
                <w:color w:val="auto"/>
              </w:rPr>
              <w:t>本项目施工期间产生的废水主要有施工废水和施工人员产生的生活污水，采取措施如下：</w:t>
            </w:r>
          </w:p>
          <w:p>
            <w:pPr>
              <w:pStyle w:val="31"/>
              <w:ind w:firstLine="480"/>
              <w:rPr>
                <w:rStyle w:val="47"/>
                <w:rFonts w:hint="default" w:ascii="Times New Roman" w:hAnsi="Times New Roman" w:eastAsiaTheme="minorEastAsia"/>
                <w:color w:val="auto"/>
              </w:rPr>
            </w:pPr>
            <w:r>
              <w:rPr>
                <w:rStyle w:val="47"/>
                <w:rFonts w:hint="default" w:ascii="Times New Roman" w:hAnsi="Times New Roman" w:eastAsiaTheme="minorEastAsia"/>
                <w:color w:val="auto"/>
              </w:rPr>
              <w:fldChar w:fldCharType="begin"/>
            </w:r>
            <w:r>
              <w:rPr>
                <w:rStyle w:val="47"/>
                <w:rFonts w:hint="default" w:ascii="Times New Roman" w:hAnsi="Times New Roman" w:eastAsiaTheme="minorEastAsia"/>
                <w:color w:val="auto"/>
              </w:rPr>
              <w:instrText xml:space="preserve"> = 1 \* GB3 </w:instrText>
            </w:r>
            <w:r>
              <w:rPr>
                <w:rStyle w:val="47"/>
                <w:rFonts w:hint="default" w:ascii="Times New Roman" w:hAnsi="Times New Roman" w:eastAsiaTheme="minorEastAsia"/>
                <w:color w:val="auto"/>
              </w:rPr>
              <w:fldChar w:fldCharType="separate"/>
            </w:r>
            <w:r>
              <w:rPr>
                <w:rStyle w:val="47"/>
                <w:rFonts w:hint="default" w:hAnsi="Times New Roman" w:asciiTheme="minorEastAsia" w:eastAsiaTheme="minorEastAsia"/>
                <w:color w:val="auto"/>
              </w:rPr>
              <w:t>①</w:t>
            </w:r>
            <w:r>
              <w:rPr>
                <w:rStyle w:val="47"/>
                <w:rFonts w:hint="default" w:ascii="Times New Roman" w:hAnsi="Times New Roman" w:eastAsiaTheme="minorEastAsia"/>
                <w:color w:val="auto"/>
              </w:rPr>
              <w:fldChar w:fldCharType="end"/>
            </w:r>
            <w:r>
              <w:rPr>
                <w:rStyle w:val="47"/>
                <w:rFonts w:hint="default" w:ascii="Times New Roman" w:hAnsi="Times New Roman" w:eastAsiaTheme="minorEastAsia"/>
                <w:color w:val="auto"/>
              </w:rPr>
              <w:t>施工废水主要包括：办公区、粪污处理系统等建设过程中露天堆放的垃圾和弃土受雨水冲洗所产生的废水，施工废水通过简易沉淀池处理后用于厂区内洒水抑尘，不外排。</w:t>
            </w:r>
          </w:p>
          <w:p>
            <w:pPr>
              <w:pStyle w:val="31"/>
              <w:ind w:firstLine="480"/>
              <w:rPr>
                <w:rStyle w:val="47"/>
                <w:rFonts w:hint="default" w:ascii="Times New Roman" w:hAnsi="Times New Roman" w:eastAsiaTheme="minorEastAsia"/>
                <w:color w:val="auto"/>
              </w:rPr>
            </w:pPr>
            <w:r>
              <w:rPr>
                <w:rStyle w:val="47"/>
                <w:rFonts w:hint="default" w:ascii="Times New Roman" w:hAnsi="Times New Roman" w:eastAsiaTheme="minorEastAsia"/>
                <w:color w:val="auto"/>
              </w:rPr>
              <w:fldChar w:fldCharType="begin"/>
            </w:r>
            <w:r>
              <w:rPr>
                <w:rStyle w:val="47"/>
                <w:rFonts w:hint="default" w:ascii="Times New Roman" w:hAnsi="Times New Roman" w:eastAsiaTheme="minorEastAsia"/>
                <w:color w:val="auto"/>
              </w:rPr>
              <w:instrText xml:space="preserve"> = 2 \* GB3 </w:instrText>
            </w:r>
            <w:r>
              <w:rPr>
                <w:rStyle w:val="47"/>
                <w:rFonts w:hint="default" w:ascii="Times New Roman" w:hAnsi="Times New Roman" w:eastAsiaTheme="minorEastAsia"/>
                <w:color w:val="auto"/>
              </w:rPr>
              <w:fldChar w:fldCharType="separate"/>
            </w:r>
            <w:r>
              <w:rPr>
                <w:rStyle w:val="47"/>
                <w:rFonts w:hint="default" w:hAnsi="Times New Roman" w:asciiTheme="minorEastAsia" w:eastAsiaTheme="minorEastAsia"/>
                <w:color w:val="auto"/>
              </w:rPr>
              <w:t>②</w:t>
            </w:r>
            <w:r>
              <w:rPr>
                <w:rStyle w:val="47"/>
                <w:rFonts w:hint="default" w:ascii="Times New Roman" w:hAnsi="Times New Roman" w:eastAsiaTheme="minorEastAsia"/>
                <w:color w:val="auto"/>
              </w:rPr>
              <w:fldChar w:fldCharType="end"/>
            </w:r>
            <w:r>
              <w:rPr>
                <w:rStyle w:val="47"/>
                <w:rFonts w:hint="default" w:ascii="Times New Roman" w:hAnsi="Times New Roman" w:eastAsiaTheme="minorEastAsia"/>
                <w:color w:val="auto"/>
              </w:rPr>
              <w:t>施工期生活污水集中收集至</w:t>
            </w:r>
            <w:r>
              <w:rPr>
                <w:rFonts w:eastAsiaTheme="minorEastAsia"/>
                <w:color w:val="auto"/>
                <w:lang w:bidi="en-US"/>
              </w:rPr>
              <w:t>污水收集池，用于厂区洒水抑尘。</w:t>
            </w:r>
          </w:p>
          <w:p>
            <w:pPr>
              <w:pStyle w:val="31"/>
              <w:ind w:firstLine="482"/>
              <w:rPr>
                <w:rFonts w:eastAsiaTheme="minorEastAsia"/>
                <w:b/>
                <w:color w:val="auto"/>
              </w:rPr>
            </w:pPr>
            <w:r>
              <w:rPr>
                <w:rFonts w:eastAsiaTheme="minorEastAsia"/>
                <w:b/>
                <w:color w:val="auto"/>
              </w:rPr>
              <w:t>固体废物：</w:t>
            </w:r>
          </w:p>
          <w:p>
            <w:pPr>
              <w:pStyle w:val="31"/>
              <w:ind w:firstLine="480"/>
              <w:rPr>
                <w:rStyle w:val="47"/>
                <w:rFonts w:hint="default" w:ascii="Times New Roman" w:hAnsi="Times New Roman" w:eastAsiaTheme="minorEastAsia"/>
                <w:color w:val="auto"/>
              </w:rPr>
            </w:pPr>
            <w:r>
              <w:rPr>
                <w:rStyle w:val="47"/>
                <w:rFonts w:hint="default" w:ascii="Times New Roman" w:hAnsi="Times New Roman" w:eastAsiaTheme="minorEastAsia"/>
                <w:color w:val="auto"/>
              </w:rPr>
              <w:t>本项目施工期间产生的固体废物主要有建筑垃圾和施工人员生活垃圾。</w:t>
            </w:r>
          </w:p>
          <w:p>
            <w:pPr>
              <w:pStyle w:val="31"/>
              <w:ind w:firstLine="480"/>
              <w:rPr>
                <w:rStyle w:val="47"/>
                <w:rFonts w:hint="default" w:ascii="Times New Roman" w:hAnsi="Times New Roman" w:eastAsiaTheme="minorEastAsia"/>
                <w:color w:val="auto"/>
              </w:rPr>
            </w:pPr>
            <w:r>
              <w:rPr>
                <w:rStyle w:val="47"/>
                <w:rFonts w:hint="default" w:ascii="Times New Roman" w:hAnsi="Times New Roman" w:eastAsiaTheme="minorEastAsia"/>
                <w:color w:val="auto"/>
              </w:rPr>
              <w:t>采取措施如下：</w:t>
            </w:r>
          </w:p>
          <w:p>
            <w:pPr>
              <w:pStyle w:val="31"/>
              <w:ind w:firstLine="480"/>
              <w:rPr>
                <w:rStyle w:val="47"/>
                <w:rFonts w:hint="default" w:ascii="Times New Roman" w:hAnsi="Times New Roman" w:eastAsiaTheme="minorEastAsia"/>
                <w:color w:val="auto"/>
              </w:rPr>
            </w:pPr>
            <w:r>
              <w:rPr>
                <w:rStyle w:val="47"/>
                <w:rFonts w:hint="default" w:ascii="Times New Roman" w:hAnsi="Times New Roman" w:eastAsiaTheme="minorEastAsia"/>
                <w:color w:val="auto"/>
              </w:rPr>
              <w:fldChar w:fldCharType="begin"/>
            </w:r>
            <w:r>
              <w:rPr>
                <w:rStyle w:val="47"/>
                <w:rFonts w:hint="default" w:ascii="Times New Roman" w:hAnsi="Times New Roman" w:eastAsiaTheme="minorEastAsia"/>
                <w:color w:val="auto"/>
              </w:rPr>
              <w:instrText xml:space="preserve"> = 1 \* GB3 </w:instrText>
            </w:r>
            <w:r>
              <w:rPr>
                <w:rStyle w:val="47"/>
                <w:rFonts w:hint="default" w:ascii="Times New Roman" w:hAnsi="Times New Roman" w:eastAsiaTheme="minorEastAsia"/>
                <w:color w:val="auto"/>
              </w:rPr>
              <w:fldChar w:fldCharType="separate"/>
            </w:r>
            <w:r>
              <w:rPr>
                <w:rStyle w:val="47"/>
                <w:rFonts w:hint="default" w:hAnsi="Times New Roman" w:asciiTheme="minorEastAsia" w:eastAsiaTheme="minorEastAsia"/>
                <w:color w:val="auto"/>
              </w:rPr>
              <w:t>①</w:t>
            </w:r>
            <w:r>
              <w:rPr>
                <w:rStyle w:val="47"/>
                <w:rFonts w:hint="default" w:ascii="Times New Roman" w:hAnsi="Times New Roman" w:eastAsiaTheme="minorEastAsia"/>
                <w:color w:val="auto"/>
              </w:rPr>
              <w:fldChar w:fldCharType="end"/>
            </w:r>
            <w:r>
              <w:rPr>
                <w:rStyle w:val="47"/>
                <w:rFonts w:hint="default" w:ascii="Times New Roman" w:hAnsi="Times New Roman" w:eastAsiaTheme="minorEastAsia"/>
                <w:color w:val="auto"/>
              </w:rPr>
              <w:t>在运输各种建筑材料（如砂石、水泥、砖等）过程中以及工程完成后，钢筋可以回收利用，其弃渣均为无机物，交由当地环卫部门统一处理；</w:t>
            </w:r>
          </w:p>
          <w:p>
            <w:pPr>
              <w:pStyle w:val="31"/>
              <w:ind w:firstLine="480"/>
              <w:rPr>
                <w:rStyle w:val="47"/>
                <w:rFonts w:hint="default" w:ascii="Times New Roman" w:hAnsi="Times New Roman" w:eastAsiaTheme="minorEastAsia"/>
                <w:color w:val="auto"/>
              </w:rPr>
            </w:pPr>
            <w:r>
              <w:rPr>
                <w:rStyle w:val="47"/>
                <w:rFonts w:hint="default" w:ascii="Times New Roman" w:hAnsi="Times New Roman" w:eastAsiaTheme="minorEastAsia"/>
                <w:color w:val="auto"/>
              </w:rPr>
              <w:fldChar w:fldCharType="begin"/>
            </w:r>
            <w:r>
              <w:rPr>
                <w:rStyle w:val="47"/>
                <w:rFonts w:hint="default" w:ascii="Times New Roman" w:hAnsi="Times New Roman" w:eastAsiaTheme="minorEastAsia"/>
                <w:color w:val="auto"/>
              </w:rPr>
              <w:instrText xml:space="preserve"> = 2 \* GB3 </w:instrText>
            </w:r>
            <w:r>
              <w:rPr>
                <w:rStyle w:val="47"/>
                <w:rFonts w:hint="default" w:ascii="Times New Roman" w:hAnsi="Times New Roman" w:eastAsiaTheme="minorEastAsia"/>
                <w:color w:val="auto"/>
              </w:rPr>
              <w:fldChar w:fldCharType="separate"/>
            </w:r>
            <w:r>
              <w:rPr>
                <w:rStyle w:val="47"/>
                <w:rFonts w:hint="default" w:hAnsi="Times New Roman" w:asciiTheme="minorEastAsia" w:eastAsiaTheme="minorEastAsia"/>
                <w:color w:val="auto"/>
              </w:rPr>
              <w:t>②</w:t>
            </w:r>
            <w:r>
              <w:rPr>
                <w:rStyle w:val="47"/>
                <w:rFonts w:hint="default" w:ascii="Times New Roman" w:hAnsi="Times New Roman" w:eastAsiaTheme="minorEastAsia"/>
                <w:color w:val="auto"/>
              </w:rPr>
              <w:fldChar w:fldCharType="end"/>
            </w:r>
            <w:r>
              <w:rPr>
                <w:rStyle w:val="47"/>
                <w:rFonts w:hint="default" w:ascii="Times New Roman" w:hAnsi="Times New Roman" w:eastAsiaTheme="minorEastAsia"/>
                <w:color w:val="auto"/>
              </w:rPr>
              <w:t>产生的弃土，经挖填平衡后剩余弃方除用于支架基础回填外，必须全部运至环保部门指定的地点。</w:t>
            </w:r>
          </w:p>
          <w:p>
            <w:pPr>
              <w:pStyle w:val="31"/>
              <w:ind w:firstLine="480"/>
              <w:rPr>
                <w:rFonts w:eastAsiaTheme="minorEastAsia"/>
                <w:color w:val="auto"/>
                <w:lang w:bidi="en-US"/>
              </w:rPr>
            </w:pPr>
            <w:r>
              <w:rPr>
                <w:rStyle w:val="47"/>
                <w:rFonts w:hint="default" w:ascii="Times New Roman" w:hAnsi="Times New Roman" w:eastAsiaTheme="minorEastAsia"/>
                <w:color w:val="auto"/>
              </w:rPr>
              <w:fldChar w:fldCharType="begin"/>
            </w:r>
            <w:r>
              <w:rPr>
                <w:rStyle w:val="47"/>
                <w:rFonts w:hint="default" w:ascii="Times New Roman" w:hAnsi="Times New Roman" w:eastAsiaTheme="minorEastAsia"/>
                <w:color w:val="auto"/>
              </w:rPr>
              <w:instrText xml:space="preserve"> = 3 \* GB3 </w:instrText>
            </w:r>
            <w:r>
              <w:rPr>
                <w:rStyle w:val="47"/>
                <w:rFonts w:hint="default" w:ascii="Times New Roman" w:hAnsi="Times New Roman" w:eastAsiaTheme="minorEastAsia"/>
                <w:color w:val="auto"/>
              </w:rPr>
              <w:fldChar w:fldCharType="separate"/>
            </w:r>
            <w:r>
              <w:rPr>
                <w:rStyle w:val="47"/>
                <w:rFonts w:hint="default" w:hAnsi="Times New Roman" w:asciiTheme="minorEastAsia" w:eastAsiaTheme="minorEastAsia"/>
                <w:color w:val="auto"/>
              </w:rPr>
              <w:t>③</w:t>
            </w:r>
            <w:r>
              <w:rPr>
                <w:rStyle w:val="47"/>
                <w:rFonts w:hint="default" w:ascii="Times New Roman" w:hAnsi="Times New Roman" w:eastAsiaTheme="minorEastAsia"/>
                <w:color w:val="auto"/>
              </w:rPr>
              <w:fldChar w:fldCharType="end"/>
            </w:r>
            <w:r>
              <w:rPr>
                <w:rStyle w:val="47"/>
                <w:rFonts w:hint="default" w:ascii="Times New Roman" w:hAnsi="Times New Roman" w:eastAsiaTheme="minorEastAsia"/>
                <w:color w:val="auto"/>
              </w:rPr>
              <w:t>施工期间，生活垃圾收集于垃圾箱内</w:t>
            </w:r>
            <w:r>
              <w:rPr>
                <w:rFonts w:eastAsiaTheme="minorEastAsia"/>
                <w:color w:val="auto"/>
                <w:lang w:bidi="en-US"/>
              </w:rPr>
              <w:t>定期由垃圾车统一运往符合选址要求的垃圾填埋场进行处理。</w:t>
            </w:r>
          </w:p>
          <w:p>
            <w:pPr>
              <w:pStyle w:val="31"/>
              <w:ind w:firstLine="482"/>
              <w:rPr>
                <w:rFonts w:eastAsiaTheme="minorEastAsia"/>
                <w:b/>
                <w:color w:val="auto"/>
                <w:lang w:bidi="en-US"/>
              </w:rPr>
            </w:pPr>
            <w:r>
              <w:rPr>
                <w:rFonts w:hint="eastAsia" w:eastAsiaTheme="minorEastAsia"/>
                <w:b/>
                <w:color w:val="auto"/>
                <w:lang w:bidi="en-US"/>
              </w:rPr>
              <w:t>生态：</w:t>
            </w:r>
          </w:p>
          <w:p>
            <w:pPr>
              <w:pStyle w:val="25"/>
              <w:ind w:firstLine="480"/>
              <w:rPr>
                <w:rStyle w:val="47"/>
                <w:rFonts w:hint="default"/>
                <w:color w:val="auto"/>
              </w:rPr>
            </w:pPr>
            <w:r>
              <w:rPr>
                <w:rStyle w:val="47"/>
                <w:rFonts w:hint="default"/>
                <w:color w:val="auto"/>
              </w:rPr>
              <w:t>拟建项目用地为农用地。根据建设项目工程分析可知，如建设单位和施工单位不采取有效的防护措施，将对项目拟建地的植被、水土等造成不良影响，因此为减少施工场地对生态影响，环评采取如下措施：</w:t>
            </w:r>
          </w:p>
          <w:p>
            <w:pPr>
              <w:pStyle w:val="25"/>
              <w:ind w:firstLine="480"/>
              <w:rPr>
                <w:rStyle w:val="47"/>
                <w:rFonts w:hint="default"/>
                <w:color w:val="auto"/>
              </w:rPr>
            </w:pPr>
            <w:r>
              <w:rPr>
                <w:rStyle w:val="47"/>
                <w:rFonts w:hint="default"/>
                <w:color w:val="auto"/>
              </w:rPr>
              <w:t>⑴动土前在项目周边建临时围挡，及时夯实回填土和及时绿化，施工道路采用硬化路面。</w:t>
            </w:r>
          </w:p>
          <w:p>
            <w:pPr>
              <w:pStyle w:val="25"/>
              <w:ind w:firstLine="480"/>
              <w:rPr>
                <w:rStyle w:val="47"/>
                <w:rFonts w:hint="default"/>
                <w:color w:val="auto"/>
              </w:rPr>
            </w:pPr>
            <w:r>
              <w:rPr>
                <w:rStyle w:val="47"/>
                <w:rFonts w:hint="default"/>
                <w:color w:val="auto"/>
              </w:rPr>
              <w:t>⑵在施工场地外设雨水截排水，防止雨水冲刷场地。</w:t>
            </w:r>
          </w:p>
          <w:p>
            <w:pPr>
              <w:pStyle w:val="25"/>
              <w:ind w:firstLine="480"/>
              <w:rPr>
                <w:rStyle w:val="47"/>
                <w:rFonts w:hint="default"/>
                <w:color w:val="auto"/>
              </w:rPr>
            </w:pPr>
            <w:r>
              <w:rPr>
                <w:rStyle w:val="47"/>
                <w:rFonts w:hint="default"/>
                <w:color w:val="auto"/>
              </w:rPr>
              <w:t>⑶雨期对裸露地表或堆土采取覆盖措施，减少水土流失量。</w:t>
            </w:r>
          </w:p>
          <w:p>
            <w:pPr>
              <w:pStyle w:val="25"/>
              <w:ind w:firstLine="480"/>
              <w:rPr>
                <w:rFonts w:eastAsiaTheme="minorEastAsia"/>
                <w:spacing w:val="-10"/>
              </w:rPr>
            </w:pPr>
            <w:r>
              <w:rPr>
                <w:rStyle w:val="47"/>
                <w:rFonts w:hint="default"/>
                <w:color w:val="auto"/>
              </w:rPr>
              <w:t>采取此类措施后，可很大程度上减轻对生态环境的影响，且施工期影响是短暂的。因此，本项目施工期不会对项目周边生态环境造成明显影响。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05" w:type="dxa"/>
            <w:tcMar>
              <w:left w:w="28" w:type="dxa"/>
              <w:right w:w="28" w:type="dxa"/>
            </w:tcMar>
            <w:vAlign w:val="center"/>
          </w:tcPr>
          <w:p>
            <w:pPr>
              <w:adjustRightInd w:val="0"/>
              <w:snapToGrid w:val="0"/>
              <w:jc w:val="center"/>
              <w:rPr>
                <w:rFonts w:eastAsiaTheme="minorEastAsia"/>
                <w:bCs/>
                <w:szCs w:val="21"/>
              </w:rPr>
            </w:pPr>
            <w:r>
              <w:rPr>
                <w:rFonts w:eastAsiaTheme="minorEastAsia"/>
                <w:bCs/>
                <w:szCs w:val="21"/>
              </w:rPr>
              <w:t>运营</w:t>
            </w:r>
          </w:p>
          <w:p>
            <w:pPr>
              <w:adjustRightInd w:val="0"/>
              <w:snapToGrid w:val="0"/>
              <w:jc w:val="center"/>
              <w:rPr>
                <w:rFonts w:eastAsiaTheme="minorEastAsia"/>
                <w:bCs/>
                <w:szCs w:val="21"/>
              </w:rPr>
            </w:pPr>
            <w:r>
              <w:rPr>
                <w:rFonts w:eastAsiaTheme="minorEastAsia"/>
                <w:bCs/>
                <w:szCs w:val="21"/>
              </w:rPr>
              <w:t>期环</w:t>
            </w:r>
          </w:p>
          <w:p>
            <w:pPr>
              <w:adjustRightInd w:val="0"/>
              <w:snapToGrid w:val="0"/>
              <w:jc w:val="center"/>
              <w:rPr>
                <w:rFonts w:eastAsiaTheme="minorEastAsia"/>
                <w:bCs/>
                <w:szCs w:val="21"/>
              </w:rPr>
            </w:pPr>
            <w:r>
              <w:rPr>
                <w:rFonts w:eastAsiaTheme="minorEastAsia"/>
                <w:bCs/>
                <w:szCs w:val="21"/>
              </w:rPr>
              <w:t>境影</w:t>
            </w:r>
          </w:p>
          <w:p>
            <w:pPr>
              <w:adjustRightInd w:val="0"/>
              <w:snapToGrid w:val="0"/>
              <w:jc w:val="center"/>
              <w:rPr>
                <w:rFonts w:eastAsiaTheme="minorEastAsia"/>
                <w:bCs/>
                <w:szCs w:val="21"/>
              </w:rPr>
            </w:pPr>
            <w:r>
              <w:rPr>
                <w:rFonts w:eastAsiaTheme="minorEastAsia"/>
                <w:bCs/>
                <w:szCs w:val="21"/>
              </w:rPr>
              <w:t>响和</w:t>
            </w:r>
          </w:p>
          <w:p>
            <w:pPr>
              <w:adjustRightInd w:val="0"/>
              <w:snapToGrid w:val="0"/>
              <w:jc w:val="center"/>
              <w:rPr>
                <w:rFonts w:eastAsiaTheme="minorEastAsia"/>
                <w:bCs/>
                <w:szCs w:val="21"/>
              </w:rPr>
            </w:pPr>
            <w:r>
              <w:rPr>
                <w:rFonts w:eastAsiaTheme="minorEastAsia"/>
                <w:bCs/>
                <w:szCs w:val="21"/>
              </w:rPr>
              <w:t>保护</w:t>
            </w:r>
          </w:p>
          <w:p>
            <w:pPr>
              <w:adjustRightInd w:val="0"/>
              <w:snapToGrid w:val="0"/>
              <w:jc w:val="center"/>
              <w:rPr>
                <w:rFonts w:eastAsiaTheme="minorEastAsia"/>
                <w:bCs/>
                <w:szCs w:val="21"/>
              </w:rPr>
            </w:pPr>
            <w:r>
              <w:rPr>
                <w:rFonts w:eastAsiaTheme="minorEastAsia"/>
                <w:bCs/>
                <w:szCs w:val="21"/>
              </w:rPr>
              <w:t>措施</w:t>
            </w:r>
          </w:p>
        </w:tc>
        <w:tc>
          <w:tcPr>
            <w:tcW w:w="8157" w:type="dxa"/>
            <w:vAlign w:val="center"/>
          </w:tcPr>
          <w:p>
            <w:pPr>
              <w:pStyle w:val="31"/>
              <w:ind w:firstLine="442"/>
              <w:rPr>
                <w:rStyle w:val="47"/>
                <w:rFonts w:hint="default" w:ascii="Times New Roman" w:hAnsi="Times New Roman" w:eastAsiaTheme="minorEastAsia"/>
                <w:b/>
                <w:color w:val="auto"/>
              </w:rPr>
            </w:pPr>
            <w:r>
              <w:rPr>
                <w:rFonts w:eastAsiaTheme="minorEastAsia"/>
                <w:b/>
                <w:color w:val="auto"/>
                <w:spacing w:val="-10"/>
              </w:rPr>
              <w:t>1</w:t>
            </w:r>
            <w:r>
              <w:rPr>
                <w:rStyle w:val="47"/>
                <w:rFonts w:hint="default" w:ascii="Times New Roman" w:hAnsi="Times New Roman" w:eastAsiaTheme="minorEastAsia"/>
                <w:b/>
                <w:color w:val="auto"/>
              </w:rPr>
              <w:t>、废气</w:t>
            </w:r>
          </w:p>
          <w:p>
            <w:pPr>
              <w:pStyle w:val="31"/>
              <w:ind w:firstLine="480"/>
              <w:rPr>
                <w:rStyle w:val="47"/>
                <w:rFonts w:hint="default" w:ascii="Times New Roman" w:hAnsi="Times New Roman" w:eastAsiaTheme="minorEastAsia"/>
                <w:color w:val="auto"/>
              </w:rPr>
            </w:pPr>
            <w:r>
              <w:rPr>
                <w:rStyle w:val="47"/>
                <w:rFonts w:hint="default" w:ascii="Times New Roman" w:hAnsi="Times New Roman" w:eastAsiaTheme="minorEastAsia"/>
                <w:color w:val="auto"/>
              </w:rPr>
              <w:t>本项目运营期产生废气主要包括</w:t>
            </w:r>
            <w:r>
              <w:rPr>
                <w:rStyle w:val="47"/>
                <w:rFonts w:hint="default"/>
                <w:color w:val="auto"/>
              </w:rPr>
              <w:t>粮食初清、烘干过程中产生的粉尘、生物质热风炉燃烧废气和食堂油烟</w:t>
            </w:r>
            <w:r>
              <w:rPr>
                <w:rStyle w:val="47"/>
                <w:rFonts w:hint="default" w:ascii="Times New Roman" w:hAnsi="Times New Roman" w:eastAsiaTheme="minorEastAsia"/>
                <w:color w:val="auto"/>
              </w:rPr>
              <w:t>。具体废气产排污情况见下表。</w:t>
            </w:r>
          </w:p>
          <w:p>
            <w:pPr>
              <w:pStyle w:val="39"/>
              <w:rPr>
                <w:rFonts w:eastAsiaTheme="minorEastAsia"/>
              </w:rPr>
            </w:pPr>
            <w:r>
              <w:rPr>
                <w:rFonts w:eastAsiaTheme="minorEastAsia"/>
              </w:rPr>
              <w:t>表</w:t>
            </w:r>
            <w:r>
              <w:rPr>
                <w:rFonts w:hint="eastAsia" w:eastAsiaTheme="minorEastAsia"/>
              </w:rPr>
              <w:t>16</w:t>
            </w:r>
            <w:r>
              <w:rPr>
                <w:rFonts w:eastAsiaTheme="minorEastAsia"/>
              </w:rPr>
              <w:t xml:space="preserve">    大气污染物产排污一览表</w:t>
            </w:r>
          </w:p>
          <w:tbl>
            <w:tblPr>
              <w:tblStyle w:val="18"/>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18"/>
              <w:gridCol w:w="689"/>
              <w:gridCol w:w="794"/>
              <w:gridCol w:w="426"/>
              <w:gridCol w:w="744"/>
              <w:gridCol w:w="601"/>
              <w:gridCol w:w="689"/>
              <w:gridCol w:w="899"/>
              <w:gridCol w:w="20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6" w:type="pct"/>
                  <w:vAlign w:val="center"/>
                </w:tcPr>
                <w:p>
                  <w:pPr>
                    <w:pStyle w:val="57"/>
                    <w:rPr>
                      <w:sz w:val="21"/>
                      <w:szCs w:val="21"/>
                    </w:rPr>
                  </w:pPr>
                  <w:r>
                    <w:rPr>
                      <w:sz w:val="21"/>
                      <w:szCs w:val="21"/>
                    </w:rPr>
                    <w:t>产排污环节</w:t>
                  </w:r>
                </w:p>
              </w:tc>
              <w:tc>
                <w:tcPr>
                  <w:tcW w:w="386" w:type="pct"/>
                  <w:vAlign w:val="center"/>
                </w:tcPr>
                <w:p>
                  <w:pPr>
                    <w:pStyle w:val="57"/>
                    <w:rPr>
                      <w:sz w:val="21"/>
                      <w:szCs w:val="21"/>
                    </w:rPr>
                  </w:pPr>
                  <w:r>
                    <w:rPr>
                      <w:sz w:val="21"/>
                      <w:szCs w:val="21"/>
                    </w:rPr>
                    <w:t>种类</w:t>
                  </w:r>
                </w:p>
              </w:tc>
              <w:tc>
                <w:tcPr>
                  <w:tcW w:w="430" w:type="pct"/>
                  <w:vAlign w:val="center"/>
                </w:tcPr>
                <w:p>
                  <w:pPr>
                    <w:pStyle w:val="57"/>
                    <w:rPr>
                      <w:sz w:val="21"/>
                      <w:szCs w:val="21"/>
                    </w:rPr>
                  </w:pPr>
                  <w:r>
                    <w:rPr>
                      <w:sz w:val="21"/>
                      <w:szCs w:val="21"/>
                    </w:rPr>
                    <w:t>产生量</w:t>
                  </w:r>
                  <w:r>
                    <w:rPr>
                      <w:rStyle w:val="47"/>
                      <w:rFonts w:hint="default" w:ascii="Times New Roman" w:hAnsi="Times New Roman" w:eastAsiaTheme="minorEastAsia"/>
                      <w:color w:val="auto"/>
                      <w:sz w:val="21"/>
                      <w:szCs w:val="21"/>
                    </w:rPr>
                    <w:t>t/a</w:t>
                  </w:r>
                </w:p>
              </w:tc>
              <w:tc>
                <w:tcPr>
                  <w:tcW w:w="495" w:type="pct"/>
                  <w:vAlign w:val="center"/>
                </w:tcPr>
                <w:p>
                  <w:pPr>
                    <w:pStyle w:val="57"/>
                    <w:rPr>
                      <w:sz w:val="21"/>
                      <w:szCs w:val="21"/>
                    </w:rPr>
                  </w:pPr>
                  <w:r>
                    <w:rPr>
                      <w:sz w:val="21"/>
                      <w:szCs w:val="21"/>
                    </w:rPr>
                    <w:t>产生速率kg/h</w:t>
                  </w:r>
                </w:p>
              </w:tc>
              <w:tc>
                <w:tcPr>
                  <w:tcW w:w="266" w:type="pct"/>
                  <w:vAlign w:val="center"/>
                </w:tcPr>
                <w:p>
                  <w:pPr>
                    <w:pStyle w:val="57"/>
                    <w:rPr>
                      <w:sz w:val="21"/>
                      <w:szCs w:val="21"/>
                    </w:rPr>
                  </w:pPr>
                  <w:r>
                    <w:rPr>
                      <w:sz w:val="21"/>
                      <w:szCs w:val="21"/>
                    </w:rPr>
                    <w:t>排放方式</w:t>
                  </w:r>
                </w:p>
              </w:tc>
              <w:tc>
                <w:tcPr>
                  <w:tcW w:w="782" w:type="pct"/>
                  <w:vAlign w:val="center"/>
                </w:tcPr>
                <w:p>
                  <w:pPr>
                    <w:pStyle w:val="57"/>
                    <w:rPr>
                      <w:sz w:val="21"/>
                      <w:szCs w:val="21"/>
                    </w:rPr>
                  </w:pPr>
                  <w:r>
                    <w:rPr>
                      <w:sz w:val="21"/>
                      <w:szCs w:val="21"/>
                    </w:rPr>
                    <w:t>治理措施</w:t>
                  </w:r>
                </w:p>
              </w:tc>
              <w:tc>
                <w:tcPr>
                  <w:tcW w:w="398" w:type="pct"/>
                  <w:vAlign w:val="center"/>
                </w:tcPr>
                <w:p>
                  <w:pPr>
                    <w:pStyle w:val="57"/>
                    <w:rPr>
                      <w:sz w:val="21"/>
                      <w:szCs w:val="21"/>
                    </w:rPr>
                  </w:pPr>
                  <w:r>
                    <w:rPr>
                      <w:sz w:val="21"/>
                      <w:szCs w:val="21"/>
                    </w:rPr>
                    <w:t>去除效率%</w:t>
                  </w:r>
                </w:p>
              </w:tc>
              <w:tc>
                <w:tcPr>
                  <w:tcW w:w="490" w:type="pct"/>
                  <w:vAlign w:val="center"/>
                </w:tcPr>
                <w:p>
                  <w:pPr>
                    <w:pStyle w:val="57"/>
                    <w:rPr>
                      <w:sz w:val="21"/>
                      <w:szCs w:val="21"/>
                    </w:rPr>
                  </w:pPr>
                  <w:r>
                    <w:rPr>
                      <w:sz w:val="21"/>
                      <w:szCs w:val="21"/>
                    </w:rPr>
                    <w:t>排放量</w:t>
                  </w:r>
                  <w:r>
                    <w:rPr>
                      <w:rStyle w:val="47"/>
                      <w:rFonts w:hint="default" w:ascii="Times New Roman" w:hAnsi="Times New Roman" w:eastAsiaTheme="minorEastAsia"/>
                      <w:color w:val="auto"/>
                      <w:sz w:val="21"/>
                      <w:szCs w:val="21"/>
                    </w:rPr>
                    <w:t>t/a</w:t>
                  </w:r>
                </w:p>
              </w:tc>
              <w:tc>
                <w:tcPr>
                  <w:tcW w:w="527" w:type="pct"/>
                  <w:vAlign w:val="center"/>
                </w:tcPr>
                <w:p>
                  <w:pPr>
                    <w:pStyle w:val="57"/>
                    <w:rPr>
                      <w:sz w:val="21"/>
                      <w:szCs w:val="21"/>
                    </w:rPr>
                  </w:pPr>
                  <w:r>
                    <w:rPr>
                      <w:sz w:val="21"/>
                      <w:szCs w:val="21"/>
                    </w:rPr>
                    <w:t>排放速率kg/h</w:t>
                  </w:r>
                </w:p>
              </w:tc>
              <w:tc>
                <w:tcPr>
                  <w:tcW w:w="956" w:type="pct"/>
                  <w:vAlign w:val="center"/>
                </w:tcPr>
                <w:p>
                  <w:pPr>
                    <w:pStyle w:val="57"/>
                    <w:rPr>
                      <w:sz w:val="21"/>
                      <w:szCs w:val="21"/>
                    </w:rPr>
                  </w:pPr>
                  <w:r>
                    <w:rPr>
                      <w:sz w:val="21"/>
                      <w:szCs w:val="21"/>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266" w:type="pct"/>
                  <w:vAlign w:val="center"/>
                </w:tcPr>
                <w:p>
                  <w:pPr>
                    <w:pStyle w:val="57"/>
                    <w:rPr>
                      <w:sz w:val="21"/>
                      <w:szCs w:val="21"/>
                    </w:rPr>
                  </w:pPr>
                  <w:r>
                    <w:rPr>
                      <w:rFonts w:hint="eastAsia"/>
                      <w:sz w:val="21"/>
                      <w:szCs w:val="21"/>
                    </w:rPr>
                    <w:t>卸料</w:t>
                  </w:r>
                </w:p>
              </w:tc>
              <w:tc>
                <w:tcPr>
                  <w:tcW w:w="386" w:type="pct"/>
                  <w:vAlign w:val="center"/>
                </w:tcPr>
                <w:p>
                  <w:pPr>
                    <w:pStyle w:val="57"/>
                    <w:rPr>
                      <w:sz w:val="21"/>
                      <w:szCs w:val="21"/>
                    </w:rPr>
                  </w:pPr>
                  <w:r>
                    <w:rPr>
                      <w:sz w:val="21"/>
                      <w:szCs w:val="21"/>
                    </w:rPr>
                    <w:t>颗粒物</w:t>
                  </w:r>
                </w:p>
              </w:tc>
              <w:tc>
                <w:tcPr>
                  <w:tcW w:w="430" w:type="pct"/>
                  <w:vAlign w:val="center"/>
                </w:tcPr>
                <w:p>
                  <w:pPr>
                    <w:pStyle w:val="57"/>
                    <w:rPr>
                      <w:sz w:val="21"/>
                      <w:szCs w:val="21"/>
                    </w:rPr>
                  </w:pPr>
                  <w:r>
                    <w:rPr>
                      <w:rFonts w:hint="eastAsia"/>
                      <w:sz w:val="21"/>
                      <w:szCs w:val="21"/>
                    </w:rPr>
                    <w:t>1.634</w:t>
                  </w:r>
                </w:p>
              </w:tc>
              <w:tc>
                <w:tcPr>
                  <w:tcW w:w="495" w:type="pct"/>
                  <w:vAlign w:val="center"/>
                </w:tcPr>
                <w:p>
                  <w:pPr>
                    <w:pStyle w:val="57"/>
                    <w:rPr>
                      <w:sz w:val="21"/>
                      <w:szCs w:val="21"/>
                    </w:rPr>
                  </w:pPr>
                  <w:r>
                    <w:rPr>
                      <w:rFonts w:hint="eastAsia"/>
                      <w:sz w:val="21"/>
                      <w:szCs w:val="21"/>
                    </w:rPr>
                    <w:t>0.68</w:t>
                  </w:r>
                </w:p>
              </w:tc>
              <w:tc>
                <w:tcPr>
                  <w:tcW w:w="266" w:type="pct"/>
                  <w:vMerge w:val="restart"/>
                  <w:vAlign w:val="center"/>
                </w:tcPr>
                <w:p>
                  <w:pPr>
                    <w:pStyle w:val="57"/>
                    <w:rPr>
                      <w:sz w:val="21"/>
                      <w:szCs w:val="21"/>
                    </w:rPr>
                  </w:pPr>
                  <w:r>
                    <w:rPr>
                      <w:rFonts w:hint="eastAsia"/>
                      <w:sz w:val="21"/>
                      <w:szCs w:val="21"/>
                      <w:lang w:eastAsia="zh-CN"/>
                    </w:rPr>
                    <w:t>有</w:t>
                  </w:r>
                  <w:r>
                    <w:rPr>
                      <w:sz w:val="21"/>
                      <w:szCs w:val="21"/>
                    </w:rPr>
                    <w:t>组织</w:t>
                  </w:r>
                </w:p>
              </w:tc>
              <w:tc>
                <w:tcPr>
                  <w:tcW w:w="782" w:type="pct"/>
                  <w:vAlign w:val="center"/>
                </w:tcPr>
                <w:p>
                  <w:pPr>
                    <w:pStyle w:val="57"/>
                    <w:rPr>
                      <w:sz w:val="21"/>
                      <w:szCs w:val="21"/>
                    </w:rPr>
                  </w:pPr>
                  <w:r>
                    <w:rPr>
                      <w:rFonts w:hint="eastAsia"/>
                      <w:sz w:val="21"/>
                      <w:szCs w:val="21"/>
                    </w:rPr>
                    <w:t>下料坑为地下式，下料坑上方设集气罩，经布袋除尘器处理后排放</w:t>
                  </w:r>
                </w:p>
              </w:tc>
              <w:tc>
                <w:tcPr>
                  <w:tcW w:w="398" w:type="pct"/>
                  <w:vAlign w:val="center"/>
                </w:tcPr>
                <w:p>
                  <w:pPr>
                    <w:pStyle w:val="57"/>
                    <w:rPr>
                      <w:sz w:val="21"/>
                      <w:szCs w:val="21"/>
                    </w:rPr>
                  </w:pPr>
                  <w:r>
                    <w:rPr>
                      <w:rFonts w:hint="eastAsia"/>
                      <w:sz w:val="21"/>
                      <w:szCs w:val="21"/>
                    </w:rPr>
                    <w:t>99</w:t>
                  </w:r>
                </w:p>
              </w:tc>
              <w:tc>
                <w:tcPr>
                  <w:tcW w:w="490" w:type="pct"/>
                  <w:vAlign w:val="center"/>
                </w:tcPr>
                <w:p>
                  <w:pPr>
                    <w:pStyle w:val="57"/>
                    <w:rPr>
                      <w:sz w:val="21"/>
                      <w:szCs w:val="21"/>
                    </w:rPr>
                  </w:pPr>
                  <w:r>
                    <w:rPr>
                      <w:rFonts w:hint="eastAsia"/>
                      <w:sz w:val="21"/>
                      <w:szCs w:val="21"/>
                    </w:rPr>
                    <w:t>0.02</w:t>
                  </w:r>
                </w:p>
              </w:tc>
              <w:tc>
                <w:tcPr>
                  <w:tcW w:w="527" w:type="pct"/>
                  <w:vAlign w:val="center"/>
                </w:tcPr>
                <w:p>
                  <w:pPr>
                    <w:pStyle w:val="57"/>
                    <w:rPr>
                      <w:sz w:val="21"/>
                      <w:szCs w:val="21"/>
                    </w:rPr>
                  </w:pPr>
                  <w:r>
                    <w:rPr>
                      <w:rFonts w:hint="eastAsia"/>
                      <w:sz w:val="21"/>
                      <w:szCs w:val="21"/>
                    </w:rPr>
                    <w:t>0.007</w:t>
                  </w:r>
                </w:p>
              </w:tc>
              <w:tc>
                <w:tcPr>
                  <w:tcW w:w="956" w:type="pct"/>
                  <w:vAlign w:val="center"/>
                </w:tcPr>
                <w:p>
                  <w:pPr>
                    <w:pStyle w:val="57"/>
                    <w:jc w:val="both"/>
                    <w:rPr>
                      <w:sz w:val="21"/>
                      <w:szCs w:val="21"/>
                    </w:rPr>
                  </w:pPr>
                  <w:r>
                    <w:rPr>
                      <w:sz w:val="21"/>
                      <w:szCs w:val="21"/>
                    </w:rPr>
                    <w:t>《大气污染物综合排放标准》（GB165297-1996）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266" w:type="pct"/>
                  <w:vAlign w:val="center"/>
                </w:tcPr>
                <w:p>
                  <w:pPr>
                    <w:pStyle w:val="57"/>
                    <w:rPr>
                      <w:sz w:val="21"/>
                      <w:szCs w:val="21"/>
                    </w:rPr>
                  </w:pPr>
                  <w:r>
                    <w:rPr>
                      <w:rFonts w:hint="eastAsia"/>
                      <w:sz w:val="21"/>
                      <w:szCs w:val="21"/>
                    </w:rPr>
                    <w:t>初清工序</w:t>
                  </w:r>
                </w:p>
              </w:tc>
              <w:tc>
                <w:tcPr>
                  <w:tcW w:w="386" w:type="pct"/>
                  <w:vAlign w:val="center"/>
                </w:tcPr>
                <w:p>
                  <w:pPr>
                    <w:pStyle w:val="57"/>
                    <w:rPr>
                      <w:sz w:val="21"/>
                      <w:szCs w:val="21"/>
                      <w:highlight w:val="yellow"/>
                    </w:rPr>
                  </w:pPr>
                  <w:r>
                    <w:rPr>
                      <w:sz w:val="21"/>
                      <w:szCs w:val="21"/>
                    </w:rPr>
                    <w:t>颗粒物</w:t>
                  </w:r>
                </w:p>
              </w:tc>
              <w:tc>
                <w:tcPr>
                  <w:tcW w:w="430" w:type="pct"/>
                  <w:vAlign w:val="center"/>
                </w:tcPr>
                <w:p>
                  <w:pPr>
                    <w:pStyle w:val="57"/>
                    <w:rPr>
                      <w:sz w:val="21"/>
                      <w:szCs w:val="21"/>
                    </w:rPr>
                  </w:pPr>
                  <w:r>
                    <w:rPr>
                      <w:rFonts w:hint="eastAsia"/>
                      <w:sz w:val="21"/>
                      <w:szCs w:val="21"/>
                    </w:rPr>
                    <w:t>3.8</w:t>
                  </w:r>
                </w:p>
              </w:tc>
              <w:tc>
                <w:tcPr>
                  <w:tcW w:w="495" w:type="pct"/>
                  <w:vAlign w:val="center"/>
                </w:tcPr>
                <w:p>
                  <w:pPr>
                    <w:pStyle w:val="57"/>
                    <w:rPr>
                      <w:sz w:val="21"/>
                      <w:szCs w:val="21"/>
                    </w:rPr>
                  </w:pPr>
                  <w:r>
                    <w:rPr>
                      <w:rFonts w:hint="eastAsia"/>
                      <w:sz w:val="21"/>
                      <w:szCs w:val="21"/>
                    </w:rPr>
                    <w:t>1.58</w:t>
                  </w:r>
                </w:p>
              </w:tc>
              <w:tc>
                <w:tcPr>
                  <w:tcW w:w="266" w:type="pct"/>
                  <w:vMerge w:val="continue"/>
                  <w:vAlign w:val="center"/>
                </w:tcPr>
                <w:p>
                  <w:pPr>
                    <w:pStyle w:val="57"/>
                    <w:rPr>
                      <w:sz w:val="21"/>
                      <w:szCs w:val="21"/>
                    </w:rPr>
                  </w:pPr>
                </w:p>
              </w:tc>
              <w:tc>
                <w:tcPr>
                  <w:tcW w:w="782" w:type="pct"/>
                  <w:vAlign w:val="center"/>
                </w:tcPr>
                <w:p>
                  <w:pPr>
                    <w:pStyle w:val="57"/>
                    <w:rPr>
                      <w:sz w:val="21"/>
                      <w:szCs w:val="21"/>
                    </w:rPr>
                  </w:pPr>
                  <w:r>
                    <w:rPr>
                      <w:rFonts w:hint="eastAsia"/>
                      <w:sz w:val="21"/>
                      <w:szCs w:val="21"/>
                    </w:rPr>
                    <w:t>布袋除尘器</w:t>
                  </w:r>
                </w:p>
              </w:tc>
              <w:tc>
                <w:tcPr>
                  <w:tcW w:w="398" w:type="pct"/>
                  <w:vAlign w:val="center"/>
                </w:tcPr>
                <w:p>
                  <w:pPr>
                    <w:pStyle w:val="57"/>
                    <w:rPr>
                      <w:sz w:val="21"/>
                      <w:szCs w:val="21"/>
                    </w:rPr>
                  </w:pPr>
                  <w:r>
                    <w:rPr>
                      <w:rFonts w:hint="eastAsia"/>
                      <w:sz w:val="21"/>
                      <w:szCs w:val="21"/>
                    </w:rPr>
                    <w:t>99</w:t>
                  </w:r>
                </w:p>
              </w:tc>
              <w:tc>
                <w:tcPr>
                  <w:tcW w:w="490" w:type="pct"/>
                  <w:vAlign w:val="center"/>
                </w:tcPr>
                <w:p>
                  <w:pPr>
                    <w:pStyle w:val="57"/>
                    <w:rPr>
                      <w:sz w:val="21"/>
                      <w:szCs w:val="21"/>
                    </w:rPr>
                  </w:pPr>
                  <w:r>
                    <w:rPr>
                      <w:rFonts w:hint="eastAsia"/>
                      <w:sz w:val="21"/>
                      <w:szCs w:val="21"/>
                    </w:rPr>
                    <w:t>0.038</w:t>
                  </w:r>
                </w:p>
              </w:tc>
              <w:tc>
                <w:tcPr>
                  <w:tcW w:w="527" w:type="pct"/>
                  <w:vAlign w:val="center"/>
                </w:tcPr>
                <w:p>
                  <w:pPr>
                    <w:pStyle w:val="57"/>
                    <w:rPr>
                      <w:sz w:val="21"/>
                      <w:szCs w:val="21"/>
                    </w:rPr>
                  </w:pPr>
                  <w:r>
                    <w:rPr>
                      <w:rFonts w:hint="eastAsia"/>
                      <w:sz w:val="21"/>
                      <w:szCs w:val="21"/>
                    </w:rPr>
                    <w:t>0.016</w:t>
                  </w:r>
                </w:p>
              </w:tc>
              <w:tc>
                <w:tcPr>
                  <w:tcW w:w="956" w:type="pct"/>
                  <w:vAlign w:val="center"/>
                </w:tcPr>
                <w:p>
                  <w:pPr>
                    <w:pStyle w:val="57"/>
                    <w:jc w:val="both"/>
                    <w:rPr>
                      <w:sz w:val="21"/>
                      <w:szCs w:val="21"/>
                    </w:rPr>
                  </w:pPr>
                  <w:r>
                    <w:rPr>
                      <w:sz w:val="21"/>
                      <w:szCs w:val="21"/>
                    </w:rPr>
                    <w:t>《大气污染物综合排放标准》（GB165297-1996）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266" w:type="pct"/>
                  <w:vAlign w:val="center"/>
                </w:tcPr>
                <w:p>
                  <w:pPr>
                    <w:pStyle w:val="57"/>
                    <w:rPr>
                      <w:sz w:val="21"/>
                      <w:szCs w:val="21"/>
                    </w:rPr>
                  </w:pPr>
                  <w:r>
                    <w:rPr>
                      <w:rFonts w:hint="eastAsia"/>
                      <w:sz w:val="21"/>
                      <w:szCs w:val="21"/>
                    </w:rPr>
                    <w:t>烘干工序</w:t>
                  </w:r>
                </w:p>
              </w:tc>
              <w:tc>
                <w:tcPr>
                  <w:tcW w:w="386" w:type="pct"/>
                  <w:vAlign w:val="center"/>
                </w:tcPr>
                <w:p>
                  <w:pPr>
                    <w:pStyle w:val="57"/>
                    <w:rPr>
                      <w:sz w:val="21"/>
                      <w:szCs w:val="21"/>
                      <w:highlight w:val="yellow"/>
                    </w:rPr>
                  </w:pPr>
                  <w:r>
                    <w:rPr>
                      <w:sz w:val="21"/>
                      <w:szCs w:val="21"/>
                    </w:rPr>
                    <w:t>颗粒物</w:t>
                  </w:r>
                </w:p>
              </w:tc>
              <w:tc>
                <w:tcPr>
                  <w:tcW w:w="430" w:type="pct"/>
                  <w:vAlign w:val="center"/>
                </w:tcPr>
                <w:p>
                  <w:pPr>
                    <w:pStyle w:val="57"/>
                    <w:rPr>
                      <w:sz w:val="21"/>
                      <w:szCs w:val="21"/>
                    </w:rPr>
                  </w:pPr>
                  <w:r>
                    <w:rPr>
                      <w:rFonts w:hint="eastAsia"/>
                      <w:sz w:val="21"/>
                      <w:szCs w:val="21"/>
                    </w:rPr>
                    <w:t>3.0</w:t>
                  </w:r>
                </w:p>
              </w:tc>
              <w:tc>
                <w:tcPr>
                  <w:tcW w:w="495" w:type="pct"/>
                  <w:vAlign w:val="center"/>
                </w:tcPr>
                <w:p>
                  <w:pPr>
                    <w:pStyle w:val="57"/>
                    <w:rPr>
                      <w:sz w:val="21"/>
                      <w:szCs w:val="21"/>
                    </w:rPr>
                  </w:pPr>
                  <w:r>
                    <w:rPr>
                      <w:rFonts w:hint="eastAsia"/>
                      <w:sz w:val="21"/>
                      <w:szCs w:val="21"/>
                    </w:rPr>
                    <w:t>2.5</w:t>
                  </w:r>
                </w:p>
              </w:tc>
              <w:tc>
                <w:tcPr>
                  <w:tcW w:w="266" w:type="pct"/>
                  <w:vMerge w:val="continue"/>
                  <w:vAlign w:val="center"/>
                </w:tcPr>
                <w:p>
                  <w:pPr>
                    <w:pStyle w:val="57"/>
                    <w:rPr>
                      <w:sz w:val="21"/>
                      <w:szCs w:val="21"/>
                    </w:rPr>
                  </w:pPr>
                </w:p>
              </w:tc>
              <w:tc>
                <w:tcPr>
                  <w:tcW w:w="782" w:type="pct"/>
                  <w:vAlign w:val="center"/>
                </w:tcPr>
                <w:p>
                  <w:pPr>
                    <w:pStyle w:val="57"/>
                    <w:rPr>
                      <w:sz w:val="21"/>
                      <w:szCs w:val="21"/>
                    </w:rPr>
                  </w:pPr>
                  <w:r>
                    <w:rPr>
                      <w:rFonts w:hint="eastAsia"/>
                      <w:sz w:val="21"/>
                      <w:szCs w:val="21"/>
                    </w:rPr>
                    <w:t>/</w:t>
                  </w:r>
                </w:p>
              </w:tc>
              <w:tc>
                <w:tcPr>
                  <w:tcW w:w="398" w:type="pct"/>
                  <w:vAlign w:val="center"/>
                </w:tcPr>
                <w:p>
                  <w:pPr>
                    <w:pStyle w:val="57"/>
                    <w:rPr>
                      <w:sz w:val="21"/>
                      <w:szCs w:val="21"/>
                    </w:rPr>
                  </w:pPr>
                  <w:r>
                    <w:rPr>
                      <w:rFonts w:hint="eastAsia"/>
                      <w:sz w:val="21"/>
                      <w:szCs w:val="21"/>
                    </w:rPr>
                    <w:t>/</w:t>
                  </w:r>
                </w:p>
              </w:tc>
              <w:tc>
                <w:tcPr>
                  <w:tcW w:w="490" w:type="pct"/>
                  <w:vAlign w:val="center"/>
                </w:tcPr>
                <w:p>
                  <w:pPr>
                    <w:pStyle w:val="57"/>
                    <w:rPr>
                      <w:sz w:val="21"/>
                      <w:szCs w:val="21"/>
                    </w:rPr>
                  </w:pPr>
                  <w:r>
                    <w:rPr>
                      <w:rFonts w:hint="eastAsia"/>
                      <w:sz w:val="21"/>
                      <w:szCs w:val="21"/>
                    </w:rPr>
                    <w:t>1.2</w:t>
                  </w:r>
                </w:p>
              </w:tc>
              <w:tc>
                <w:tcPr>
                  <w:tcW w:w="527" w:type="pct"/>
                  <w:vAlign w:val="center"/>
                </w:tcPr>
                <w:p>
                  <w:pPr>
                    <w:pStyle w:val="57"/>
                    <w:rPr>
                      <w:sz w:val="21"/>
                      <w:szCs w:val="21"/>
                    </w:rPr>
                  </w:pPr>
                  <w:r>
                    <w:rPr>
                      <w:rFonts w:hint="eastAsia"/>
                      <w:sz w:val="21"/>
                      <w:szCs w:val="21"/>
                    </w:rPr>
                    <w:t>1.0</w:t>
                  </w:r>
                </w:p>
              </w:tc>
              <w:tc>
                <w:tcPr>
                  <w:tcW w:w="956" w:type="pct"/>
                  <w:vAlign w:val="center"/>
                </w:tcPr>
                <w:p>
                  <w:pPr>
                    <w:pStyle w:val="57"/>
                    <w:jc w:val="both"/>
                    <w:rPr>
                      <w:sz w:val="21"/>
                      <w:szCs w:val="21"/>
                    </w:rPr>
                  </w:pPr>
                  <w:r>
                    <w:rPr>
                      <w:sz w:val="21"/>
                      <w:szCs w:val="21"/>
                    </w:rPr>
                    <w:t>《大气污染物综合排放标准》（GB165297-1996）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66" w:type="pct"/>
                  <w:vMerge w:val="restart"/>
                  <w:vAlign w:val="center"/>
                </w:tcPr>
                <w:p>
                  <w:pPr>
                    <w:pStyle w:val="57"/>
                    <w:rPr>
                      <w:sz w:val="21"/>
                      <w:szCs w:val="21"/>
                    </w:rPr>
                  </w:pPr>
                  <w:r>
                    <w:rPr>
                      <w:rFonts w:hint="eastAsia"/>
                      <w:sz w:val="21"/>
                      <w:szCs w:val="21"/>
                    </w:rPr>
                    <w:t>生物质热风炉</w:t>
                  </w:r>
                </w:p>
              </w:tc>
              <w:tc>
                <w:tcPr>
                  <w:tcW w:w="386" w:type="pct"/>
                  <w:vAlign w:val="center"/>
                </w:tcPr>
                <w:p>
                  <w:pPr>
                    <w:pStyle w:val="57"/>
                    <w:rPr>
                      <w:sz w:val="21"/>
                      <w:szCs w:val="21"/>
                    </w:rPr>
                  </w:pPr>
                  <w:r>
                    <w:rPr>
                      <w:sz w:val="21"/>
                      <w:szCs w:val="21"/>
                    </w:rPr>
                    <w:t>颗粒物</w:t>
                  </w:r>
                </w:p>
              </w:tc>
              <w:tc>
                <w:tcPr>
                  <w:tcW w:w="430" w:type="pct"/>
                  <w:vAlign w:val="center"/>
                </w:tcPr>
                <w:p>
                  <w:pPr>
                    <w:pStyle w:val="57"/>
                    <w:rPr>
                      <w:sz w:val="21"/>
                      <w:szCs w:val="21"/>
                    </w:rPr>
                  </w:pPr>
                  <w:r>
                    <w:rPr>
                      <w:rFonts w:hint="eastAsia"/>
                      <w:kern w:val="0"/>
                      <w:sz w:val="21"/>
                      <w:szCs w:val="21"/>
                    </w:rPr>
                    <w:t>0.68</w:t>
                  </w:r>
                </w:p>
              </w:tc>
              <w:tc>
                <w:tcPr>
                  <w:tcW w:w="495" w:type="pct"/>
                  <w:vAlign w:val="center"/>
                </w:tcPr>
                <w:p>
                  <w:pPr>
                    <w:pStyle w:val="57"/>
                    <w:rPr>
                      <w:kern w:val="0"/>
                      <w:sz w:val="21"/>
                      <w:szCs w:val="21"/>
                    </w:rPr>
                  </w:pPr>
                  <w:r>
                    <w:rPr>
                      <w:kern w:val="0"/>
                      <w:sz w:val="21"/>
                      <w:szCs w:val="21"/>
                    </w:rPr>
                    <w:t>0.</w:t>
                  </w:r>
                  <w:r>
                    <w:rPr>
                      <w:rFonts w:hint="eastAsia"/>
                      <w:kern w:val="0"/>
                      <w:sz w:val="21"/>
                      <w:szCs w:val="21"/>
                    </w:rPr>
                    <w:t>354</w:t>
                  </w:r>
                </w:p>
              </w:tc>
              <w:tc>
                <w:tcPr>
                  <w:tcW w:w="266" w:type="pct"/>
                  <w:vMerge w:val="restart"/>
                  <w:vAlign w:val="center"/>
                </w:tcPr>
                <w:p>
                  <w:pPr>
                    <w:pStyle w:val="57"/>
                    <w:rPr>
                      <w:sz w:val="21"/>
                      <w:szCs w:val="21"/>
                    </w:rPr>
                  </w:pPr>
                  <w:r>
                    <w:rPr>
                      <w:sz w:val="21"/>
                      <w:szCs w:val="21"/>
                    </w:rPr>
                    <w:t>有组织</w:t>
                  </w:r>
                </w:p>
              </w:tc>
              <w:tc>
                <w:tcPr>
                  <w:tcW w:w="782" w:type="pct"/>
                  <w:vMerge w:val="restart"/>
                  <w:vAlign w:val="center"/>
                </w:tcPr>
                <w:p>
                  <w:pPr>
                    <w:pStyle w:val="57"/>
                    <w:rPr>
                      <w:sz w:val="21"/>
                      <w:szCs w:val="21"/>
                    </w:rPr>
                  </w:pPr>
                  <w:r>
                    <w:rPr>
                      <w:rFonts w:hint="eastAsia"/>
                      <w:sz w:val="21"/>
                      <w:szCs w:val="21"/>
                    </w:rPr>
                    <w:t>布袋除尘器</w:t>
                  </w:r>
                </w:p>
              </w:tc>
              <w:tc>
                <w:tcPr>
                  <w:tcW w:w="398" w:type="pct"/>
                  <w:vAlign w:val="center"/>
                </w:tcPr>
                <w:p>
                  <w:pPr>
                    <w:pStyle w:val="57"/>
                    <w:rPr>
                      <w:sz w:val="21"/>
                      <w:szCs w:val="21"/>
                    </w:rPr>
                  </w:pPr>
                  <w:r>
                    <w:rPr>
                      <w:sz w:val="21"/>
                      <w:szCs w:val="21"/>
                    </w:rPr>
                    <w:t>/</w:t>
                  </w:r>
                </w:p>
              </w:tc>
              <w:tc>
                <w:tcPr>
                  <w:tcW w:w="490" w:type="pct"/>
                  <w:vAlign w:val="center"/>
                </w:tcPr>
                <w:p>
                  <w:pPr>
                    <w:pStyle w:val="57"/>
                    <w:rPr>
                      <w:sz w:val="21"/>
                      <w:szCs w:val="21"/>
                    </w:rPr>
                  </w:pPr>
                  <w:r>
                    <w:rPr>
                      <w:sz w:val="21"/>
                      <w:szCs w:val="21"/>
                    </w:rPr>
                    <w:t>0.0</w:t>
                  </w:r>
                  <w:r>
                    <w:rPr>
                      <w:rFonts w:hint="eastAsia"/>
                      <w:sz w:val="21"/>
                      <w:szCs w:val="21"/>
                    </w:rPr>
                    <w:t>02</w:t>
                  </w:r>
                </w:p>
              </w:tc>
              <w:tc>
                <w:tcPr>
                  <w:tcW w:w="527" w:type="pct"/>
                  <w:vAlign w:val="center"/>
                </w:tcPr>
                <w:p>
                  <w:pPr>
                    <w:pStyle w:val="57"/>
                    <w:rPr>
                      <w:kern w:val="0"/>
                      <w:sz w:val="21"/>
                      <w:szCs w:val="21"/>
                    </w:rPr>
                  </w:pPr>
                  <w:r>
                    <w:rPr>
                      <w:kern w:val="0"/>
                      <w:sz w:val="21"/>
                      <w:szCs w:val="21"/>
                    </w:rPr>
                    <w:t>0.0</w:t>
                  </w:r>
                  <w:r>
                    <w:rPr>
                      <w:rFonts w:hint="eastAsia"/>
                      <w:kern w:val="0"/>
                      <w:sz w:val="21"/>
                      <w:szCs w:val="21"/>
                    </w:rPr>
                    <w:t>011</w:t>
                  </w:r>
                </w:p>
              </w:tc>
              <w:tc>
                <w:tcPr>
                  <w:tcW w:w="956" w:type="pct"/>
                  <w:vMerge w:val="restart"/>
                  <w:vAlign w:val="center"/>
                </w:tcPr>
                <w:p>
                  <w:pPr>
                    <w:pStyle w:val="57"/>
                    <w:jc w:val="both"/>
                    <w:rPr>
                      <w:sz w:val="21"/>
                      <w:szCs w:val="21"/>
                    </w:rPr>
                  </w:pPr>
                  <w:r>
                    <w:rPr>
                      <w:rFonts w:hint="eastAsia" w:ascii="Times New Roman" w:hAnsi="Times New Roman" w:eastAsia="宋体" w:cs="Times New Roman"/>
                      <w:color w:val="auto"/>
                      <w:sz w:val="21"/>
                      <w:szCs w:val="21"/>
                      <w:lang w:eastAsia="zh-CN"/>
                    </w:rPr>
                    <w:t>烟尘、二氧化硫、林格曼黑度执行《工业炉窑大气污染物排放标准》（</w:t>
                  </w:r>
                  <w:r>
                    <w:rPr>
                      <w:rFonts w:hint="eastAsia" w:ascii="Times New Roman" w:hAnsi="Times New Roman" w:eastAsia="宋体" w:cs="Times New Roman"/>
                      <w:color w:val="auto"/>
                      <w:sz w:val="21"/>
                      <w:szCs w:val="21"/>
                      <w:lang w:val="en-US" w:eastAsia="zh-CN"/>
                    </w:rPr>
                    <w:t>GB9078-1996</w:t>
                  </w:r>
                  <w:r>
                    <w:rPr>
                      <w:rFonts w:hint="eastAsia" w:ascii="Times New Roman" w:hAnsi="Times New Roman" w:eastAsia="宋体" w:cs="Times New Roman"/>
                      <w:color w:val="auto"/>
                      <w:sz w:val="21"/>
                      <w:szCs w:val="21"/>
                      <w:lang w:eastAsia="zh-CN"/>
                    </w:rPr>
                    <w:t>）中相关标准，氮氧化物执行</w:t>
                  </w:r>
                  <w:r>
                    <w:rPr>
                      <w:rFonts w:hint="default" w:ascii="Times New Roman" w:hAnsi="Times New Roman" w:eastAsia="宋体" w:cs="Times New Roman"/>
                      <w:color w:val="auto"/>
                      <w:sz w:val="21"/>
                      <w:szCs w:val="21"/>
                    </w:rPr>
                    <w:t>《大气污染物综合排放标准》（GB16297-1996）表</w:t>
                  </w:r>
                  <w:r>
                    <w:rPr>
                      <w:rFonts w:hint="eastAsia" w:ascii="Times New Roman" w:hAnsi="Times New Roman" w:eastAsia="宋体" w:cs="Times New Roman"/>
                      <w:color w:val="auto"/>
                      <w:sz w:val="21"/>
                      <w:szCs w:val="21"/>
                      <w:lang w:val="en-US" w:eastAsia="zh-CN"/>
                    </w:rPr>
                    <w:t>2中有组织限值。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6" w:type="pct"/>
                  <w:vMerge w:val="continue"/>
                  <w:vAlign w:val="center"/>
                </w:tcPr>
                <w:p>
                  <w:pPr>
                    <w:pStyle w:val="57"/>
                    <w:rPr>
                      <w:sz w:val="21"/>
                      <w:szCs w:val="21"/>
                    </w:rPr>
                  </w:pPr>
                </w:p>
              </w:tc>
              <w:tc>
                <w:tcPr>
                  <w:tcW w:w="386" w:type="pct"/>
                  <w:vAlign w:val="center"/>
                </w:tcPr>
                <w:p>
                  <w:pPr>
                    <w:pStyle w:val="57"/>
                    <w:rPr>
                      <w:sz w:val="21"/>
                      <w:szCs w:val="21"/>
                    </w:rPr>
                  </w:pPr>
                  <w:r>
                    <w:rPr>
                      <w:sz w:val="21"/>
                      <w:szCs w:val="21"/>
                    </w:rPr>
                    <w:t>SO</w:t>
                  </w:r>
                  <w:r>
                    <w:rPr>
                      <w:sz w:val="21"/>
                      <w:szCs w:val="21"/>
                      <w:vertAlign w:val="subscript"/>
                    </w:rPr>
                    <w:t>2</w:t>
                  </w:r>
                </w:p>
              </w:tc>
              <w:tc>
                <w:tcPr>
                  <w:tcW w:w="430" w:type="pct"/>
                  <w:vAlign w:val="center"/>
                </w:tcPr>
                <w:p>
                  <w:pPr>
                    <w:pStyle w:val="57"/>
                    <w:rPr>
                      <w:kern w:val="0"/>
                      <w:sz w:val="21"/>
                      <w:szCs w:val="21"/>
                    </w:rPr>
                  </w:pPr>
                  <w:r>
                    <w:rPr>
                      <w:rFonts w:hint="eastAsia"/>
                      <w:kern w:val="0"/>
                      <w:sz w:val="21"/>
                      <w:szCs w:val="21"/>
                    </w:rPr>
                    <w:t>0.068</w:t>
                  </w:r>
                </w:p>
              </w:tc>
              <w:tc>
                <w:tcPr>
                  <w:tcW w:w="495" w:type="pct"/>
                  <w:vAlign w:val="center"/>
                </w:tcPr>
                <w:p>
                  <w:pPr>
                    <w:pStyle w:val="57"/>
                    <w:rPr>
                      <w:kern w:val="0"/>
                      <w:sz w:val="21"/>
                      <w:szCs w:val="21"/>
                    </w:rPr>
                  </w:pPr>
                  <w:r>
                    <w:rPr>
                      <w:rFonts w:hint="eastAsia"/>
                      <w:kern w:val="0"/>
                      <w:sz w:val="21"/>
                      <w:szCs w:val="21"/>
                    </w:rPr>
                    <w:t>0.035</w:t>
                  </w:r>
                </w:p>
              </w:tc>
              <w:tc>
                <w:tcPr>
                  <w:tcW w:w="266" w:type="pct"/>
                  <w:vMerge w:val="continue"/>
                  <w:vAlign w:val="center"/>
                </w:tcPr>
                <w:p>
                  <w:pPr>
                    <w:pStyle w:val="57"/>
                    <w:rPr>
                      <w:sz w:val="21"/>
                      <w:szCs w:val="21"/>
                    </w:rPr>
                  </w:pPr>
                </w:p>
              </w:tc>
              <w:tc>
                <w:tcPr>
                  <w:tcW w:w="782" w:type="pct"/>
                  <w:vMerge w:val="continue"/>
                  <w:vAlign w:val="center"/>
                </w:tcPr>
                <w:p>
                  <w:pPr>
                    <w:pStyle w:val="57"/>
                    <w:rPr>
                      <w:sz w:val="21"/>
                      <w:szCs w:val="21"/>
                    </w:rPr>
                  </w:pPr>
                </w:p>
              </w:tc>
              <w:tc>
                <w:tcPr>
                  <w:tcW w:w="398" w:type="pct"/>
                  <w:vAlign w:val="center"/>
                </w:tcPr>
                <w:p>
                  <w:pPr>
                    <w:pStyle w:val="57"/>
                    <w:rPr>
                      <w:kern w:val="0"/>
                      <w:sz w:val="21"/>
                      <w:szCs w:val="21"/>
                    </w:rPr>
                  </w:pPr>
                  <w:r>
                    <w:rPr>
                      <w:kern w:val="0"/>
                      <w:sz w:val="21"/>
                      <w:szCs w:val="21"/>
                    </w:rPr>
                    <w:t>/</w:t>
                  </w:r>
                </w:p>
              </w:tc>
              <w:tc>
                <w:tcPr>
                  <w:tcW w:w="490" w:type="pct"/>
                  <w:vAlign w:val="center"/>
                </w:tcPr>
                <w:p>
                  <w:pPr>
                    <w:pStyle w:val="57"/>
                    <w:rPr>
                      <w:kern w:val="0"/>
                      <w:sz w:val="21"/>
                      <w:szCs w:val="21"/>
                    </w:rPr>
                  </w:pPr>
                  <w:r>
                    <w:rPr>
                      <w:rFonts w:hint="eastAsia"/>
                      <w:kern w:val="0"/>
                      <w:sz w:val="21"/>
                      <w:szCs w:val="21"/>
                    </w:rPr>
                    <w:t>0.068</w:t>
                  </w:r>
                </w:p>
              </w:tc>
              <w:tc>
                <w:tcPr>
                  <w:tcW w:w="527" w:type="pct"/>
                  <w:vAlign w:val="center"/>
                </w:tcPr>
                <w:p>
                  <w:pPr>
                    <w:pStyle w:val="57"/>
                    <w:rPr>
                      <w:kern w:val="0"/>
                      <w:sz w:val="21"/>
                      <w:szCs w:val="21"/>
                    </w:rPr>
                  </w:pPr>
                  <w:r>
                    <w:rPr>
                      <w:rFonts w:hint="eastAsia"/>
                      <w:kern w:val="0"/>
                      <w:sz w:val="21"/>
                      <w:szCs w:val="21"/>
                    </w:rPr>
                    <w:t>0.035</w:t>
                  </w:r>
                </w:p>
              </w:tc>
              <w:tc>
                <w:tcPr>
                  <w:tcW w:w="956" w:type="pct"/>
                  <w:vMerge w:val="continue"/>
                  <w:vAlign w:val="center"/>
                </w:tcPr>
                <w:p>
                  <w:pPr>
                    <w:pStyle w:val="57"/>
                    <w:jc w:val="both"/>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66" w:type="pct"/>
                  <w:vMerge w:val="continue"/>
                  <w:vAlign w:val="center"/>
                </w:tcPr>
                <w:p>
                  <w:pPr>
                    <w:pStyle w:val="57"/>
                    <w:rPr>
                      <w:sz w:val="21"/>
                      <w:szCs w:val="21"/>
                    </w:rPr>
                  </w:pPr>
                </w:p>
              </w:tc>
              <w:tc>
                <w:tcPr>
                  <w:tcW w:w="386" w:type="pct"/>
                  <w:vAlign w:val="center"/>
                </w:tcPr>
                <w:p>
                  <w:pPr>
                    <w:pStyle w:val="57"/>
                    <w:rPr>
                      <w:sz w:val="21"/>
                      <w:szCs w:val="21"/>
                    </w:rPr>
                  </w:pPr>
                  <w:r>
                    <w:rPr>
                      <w:sz w:val="21"/>
                      <w:szCs w:val="21"/>
                    </w:rPr>
                    <w:t>NO</w:t>
                  </w:r>
                  <w:r>
                    <w:rPr>
                      <w:sz w:val="21"/>
                      <w:szCs w:val="21"/>
                      <w:vertAlign w:val="subscript"/>
                    </w:rPr>
                    <w:t>X</w:t>
                  </w:r>
                </w:p>
              </w:tc>
              <w:tc>
                <w:tcPr>
                  <w:tcW w:w="430" w:type="pct"/>
                  <w:vAlign w:val="center"/>
                </w:tcPr>
                <w:p>
                  <w:pPr>
                    <w:pStyle w:val="57"/>
                    <w:rPr>
                      <w:sz w:val="21"/>
                      <w:szCs w:val="21"/>
                    </w:rPr>
                  </w:pPr>
                  <w:r>
                    <w:rPr>
                      <w:rFonts w:hint="eastAsia"/>
                      <w:kern w:val="0"/>
                      <w:sz w:val="21"/>
                      <w:szCs w:val="21"/>
                    </w:rPr>
                    <w:t>1.387</w:t>
                  </w:r>
                </w:p>
              </w:tc>
              <w:tc>
                <w:tcPr>
                  <w:tcW w:w="495" w:type="pct"/>
                  <w:vAlign w:val="center"/>
                </w:tcPr>
                <w:p>
                  <w:pPr>
                    <w:pStyle w:val="57"/>
                    <w:rPr>
                      <w:sz w:val="21"/>
                      <w:szCs w:val="21"/>
                    </w:rPr>
                  </w:pPr>
                  <w:r>
                    <w:rPr>
                      <w:rFonts w:hint="eastAsia"/>
                      <w:kern w:val="0"/>
                      <w:sz w:val="21"/>
                      <w:szCs w:val="21"/>
                    </w:rPr>
                    <w:t>0.723</w:t>
                  </w:r>
                </w:p>
              </w:tc>
              <w:tc>
                <w:tcPr>
                  <w:tcW w:w="266" w:type="pct"/>
                  <w:vMerge w:val="continue"/>
                  <w:vAlign w:val="center"/>
                </w:tcPr>
                <w:p>
                  <w:pPr>
                    <w:pStyle w:val="57"/>
                    <w:rPr>
                      <w:sz w:val="21"/>
                      <w:szCs w:val="21"/>
                    </w:rPr>
                  </w:pPr>
                </w:p>
              </w:tc>
              <w:tc>
                <w:tcPr>
                  <w:tcW w:w="782" w:type="pct"/>
                  <w:vMerge w:val="continue"/>
                  <w:vAlign w:val="center"/>
                </w:tcPr>
                <w:p>
                  <w:pPr>
                    <w:pStyle w:val="57"/>
                    <w:rPr>
                      <w:sz w:val="21"/>
                      <w:szCs w:val="21"/>
                    </w:rPr>
                  </w:pPr>
                </w:p>
              </w:tc>
              <w:tc>
                <w:tcPr>
                  <w:tcW w:w="398" w:type="pct"/>
                  <w:vAlign w:val="center"/>
                </w:tcPr>
                <w:p>
                  <w:pPr>
                    <w:pStyle w:val="57"/>
                    <w:rPr>
                      <w:kern w:val="0"/>
                      <w:sz w:val="21"/>
                      <w:szCs w:val="21"/>
                    </w:rPr>
                  </w:pPr>
                  <w:r>
                    <w:rPr>
                      <w:kern w:val="0"/>
                      <w:sz w:val="21"/>
                      <w:szCs w:val="21"/>
                    </w:rPr>
                    <w:t>/</w:t>
                  </w:r>
                </w:p>
              </w:tc>
              <w:tc>
                <w:tcPr>
                  <w:tcW w:w="490" w:type="pct"/>
                  <w:vAlign w:val="center"/>
                </w:tcPr>
                <w:p>
                  <w:pPr>
                    <w:pStyle w:val="57"/>
                    <w:rPr>
                      <w:sz w:val="21"/>
                      <w:szCs w:val="21"/>
                    </w:rPr>
                  </w:pPr>
                  <w:r>
                    <w:rPr>
                      <w:rFonts w:hint="eastAsia"/>
                      <w:kern w:val="0"/>
                      <w:sz w:val="21"/>
                      <w:szCs w:val="21"/>
                    </w:rPr>
                    <w:t>1.387</w:t>
                  </w:r>
                </w:p>
              </w:tc>
              <w:tc>
                <w:tcPr>
                  <w:tcW w:w="527" w:type="pct"/>
                  <w:vAlign w:val="center"/>
                </w:tcPr>
                <w:p>
                  <w:pPr>
                    <w:pStyle w:val="57"/>
                    <w:rPr>
                      <w:sz w:val="21"/>
                      <w:szCs w:val="21"/>
                    </w:rPr>
                  </w:pPr>
                  <w:r>
                    <w:rPr>
                      <w:rFonts w:hint="eastAsia"/>
                      <w:kern w:val="0"/>
                      <w:sz w:val="21"/>
                      <w:szCs w:val="21"/>
                    </w:rPr>
                    <w:t>0.723</w:t>
                  </w:r>
                </w:p>
              </w:tc>
              <w:tc>
                <w:tcPr>
                  <w:tcW w:w="956" w:type="pct"/>
                  <w:vMerge w:val="continue"/>
                  <w:vAlign w:val="center"/>
                </w:tcPr>
                <w:p>
                  <w:pPr>
                    <w:pStyle w:val="57"/>
                    <w:jc w:val="both"/>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66" w:type="pct"/>
                  <w:vAlign w:val="center"/>
                </w:tcPr>
                <w:p>
                  <w:pPr>
                    <w:pStyle w:val="57"/>
                    <w:rPr>
                      <w:sz w:val="21"/>
                      <w:szCs w:val="21"/>
                    </w:rPr>
                  </w:pPr>
                  <w:r>
                    <w:rPr>
                      <w:rFonts w:hint="eastAsia"/>
                      <w:sz w:val="21"/>
                      <w:szCs w:val="21"/>
                    </w:rPr>
                    <w:t>食堂</w:t>
                  </w:r>
                </w:p>
              </w:tc>
              <w:tc>
                <w:tcPr>
                  <w:tcW w:w="386" w:type="pct"/>
                  <w:vAlign w:val="center"/>
                </w:tcPr>
                <w:p>
                  <w:pPr>
                    <w:pStyle w:val="57"/>
                    <w:rPr>
                      <w:sz w:val="21"/>
                      <w:szCs w:val="21"/>
                    </w:rPr>
                  </w:pPr>
                  <w:r>
                    <w:rPr>
                      <w:rFonts w:hint="eastAsia"/>
                      <w:sz w:val="21"/>
                      <w:szCs w:val="21"/>
                    </w:rPr>
                    <w:t>油烟</w:t>
                  </w:r>
                </w:p>
              </w:tc>
              <w:tc>
                <w:tcPr>
                  <w:tcW w:w="430" w:type="pct"/>
                  <w:vAlign w:val="center"/>
                </w:tcPr>
                <w:p>
                  <w:pPr>
                    <w:pStyle w:val="57"/>
                    <w:rPr>
                      <w:sz w:val="21"/>
                      <w:szCs w:val="21"/>
                    </w:rPr>
                  </w:pPr>
                  <w:r>
                    <w:rPr>
                      <w:rFonts w:hint="eastAsia"/>
                      <w:sz w:val="21"/>
                      <w:szCs w:val="21"/>
                    </w:rPr>
                    <w:t>0.69</w:t>
                  </w:r>
                </w:p>
              </w:tc>
              <w:tc>
                <w:tcPr>
                  <w:tcW w:w="495" w:type="pct"/>
                  <w:vAlign w:val="center"/>
                </w:tcPr>
                <w:p>
                  <w:pPr>
                    <w:pStyle w:val="57"/>
                    <w:rPr>
                      <w:sz w:val="21"/>
                      <w:szCs w:val="21"/>
                    </w:rPr>
                  </w:pPr>
                  <w:r>
                    <w:rPr>
                      <w:rFonts w:hint="eastAsia"/>
                      <w:sz w:val="21"/>
                      <w:szCs w:val="21"/>
                    </w:rPr>
                    <w:t>0.0008</w:t>
                  </w:r>
                </w:p>
              </w:tc>
              <w:tc>
                <w:tcPr>
                  <w:tcW w:w="266" w:type="pct"/>
                  <w:vAlign w:val="center"/>
                </w:tcPr>
                <w:p>
                  <w:pPr>
                    <w:pStyle w:val="57"/>
                    <w:rPr>
                      <w:sz w:val="21"/>
                      <w:szCs w:val="21"/>
                    </w:rPr>
                  </w:pPr>
                  <w:r>
                    <w:rPr>
                      <w:rFonts w:hint="eastAsia"/>
                      <w:sz w:val="21"/>
                      <w:szCs w:val="21"/>
                    </w:rPr>
                    <w:t>/</w:t>
                  </w:r>
                </w:p>
              </w:tc>
              <w:tc>
                <w:tcPr>
                  <w:tcW w:w="782" w:type="pct"/>
                  <w:vAlign w:val="center"/>
                </w:tcPr>
                <w:p>
                  <w:pPr>
                    <w:pStyle w:val="57"/>
                    <w:rPr>
                      <w:sz w:val="21"/>
                      <w:szCs w:val="21"/>
                    </w:rPr>
                  </w:pPr>
                  <w:r>
                    <w:rPr>
                      <w:rFonts w:hint="eastAsia"/>
                      <w:sz w:val="21"/>
                      <w:szCs w:val="21"/>
                    </w:rPr>
                    <w:t>油烟净化器</w:t>
                  </w:r>
                </w:p>
              </w:tc>
              <w:tc>
                <w:tcPr>
                  <w:tcW w:w="398" w:type="pct"/>
                  <w:vAlign w:val="center"/>
                </w:tcPr>
                <w:p>
                  <w:pPr>
                    <w:pStyle w:val="57"/>
                    <w:rPr>
                      <w:kern w:val="0"/>
                      <w:sz w:val="21"/>
                      <w:szCs w:val="21"/>
                    </w:rPr>
                  </w:pPr>
                  <w:r>
                    <w:rPr>
                      <w:rFonts w:hint="eastAsia"/>
                      <w:kern w:val="0"/>
                      <w:sz w:val="21"/>
                      <w:szCs w:val="21"/>
                    </w:rPr>
                    <w:t>60</w:t>
                  </w:r>
                </w:p>
              </w:tc>
              <w:tc>
                <w:tcPr>
                  <w:tcW w:w="490" w:type="pct"/>
                  <w:vAlign w:val="center"/>
                </w:tcPr>
                <w:p>
                  <w:pPr>
                    <w:pStyle w:val="57"/>
                    <w:rPr>
                      <w:sz w:val="21"/>
                      <w:szCs w:val="21"/>
                    </w:rPr>
                  </w:pPr>
                  <w:r>
                    <w:rPr>
                      <w:rFonts w:hint="eastAsia"/>
                      <w:sz w:val="21"/>
                      <w:szCs w:val="21"/>
                    </w:rPr>
                    <w:t>0.276</w:t>
                  </w:r>
                </w:p>
              </w:tc>
              <w:tc>
                <w:tcPr>
                  <w:tcW w:w="527" w:type="pct"/>
                  <w:vAlign w:val="center"/>
                </w:tcPr>
                <w:p>
                  <w:pPr>
                    <w:pStyle w:val="57"/>
                    <w:rPr>
                      <w:sz w:val="21"/>
                      <w:szCs w:val="21"/>
                    </w:rPr>
                  </w:pPr>
                  <w:r>
                    <w:rPr>
                      <w:rFonts w:hint="eastAsia"/>
                      <w:sz w:val="21"/>
                      <w:szCs w:val="21"/>
                    </w:rPr>
                    <w:t>0.00092</w:t>
                  </w:r>
                </w:p>
              </w:tc>
              <w:tc>
                <w:tcPr>
                  <w:tcW w:w="956" w:type="pct"/>
                  <w:vAlign w:val="center"/>
                </w:tcPr>
                <w:p>
                  <w:pPr>
                    <w:pStyle w:val="57"/>
                    <w:jc w:val="both"/>
                    <w:rPr>
                      <w:sz w:val="21"/>
                      <w:szCs w:val="21"/>
                    </w:rPr>
                  </w:pPr>
                  <w:r>
                    <w:rPr>
                      <w:sz w:val="21"/>
                      <w:szCs w:val="21"/>
                    </w:rPr>
                    <w:t>《饮食业油烟排放标准（试行）》（GB18483-2001）中小型标准</w:t>
                  </w:r>
                </w:p>
              </w:tc>
            </w:tr>
          </w:tbl>
          <w:p>
            <w:pPr>
              <w:pStyle w:val="31"/>
              <w:ind w:firstLine="480"/>
              <w:rPr>
                <w:rStyle w:val="47"/>
                <w:rFonts w:hint="default" w:ascii="Times New Roman" w:hAnsi="Times New Roman" w:eastAsiaTheme="minorEastAsia"/>
                <w:color w:val="auto"/>
              </w:rPr>
            </w:pPr>
          </w:p>
          <w:p>
            <w:pPr>
              <w:pStyle w:val="31"/>
              <w:ind w:firstLine="480"/>
              <w:rPr>
                <w:rStyle w:val="47"/>
                <w:rFonts w:hint="default" w:ascii="Times New Roman" w:hAnsi="Times New Roman" w:eastAsiaTheme="minorEastAsia"/>
                <w:color w:val="auto"/>
              </w:rPr>
            </w:pPr>
            <w:r>
              <w:rPr>
                <w:rStyle w:val="47"/>
                <w:rFonts w:hint="default" w:ascii="Times New Roman" w:hAnsi="Times New Roman" w:eastAsiaTheme="minorEastAsia"/>
                <w:color w:val="auto"/>
              </w:rPr>
              <w:t>1）具体源强计算过程如下：</w:t>
            </w:r>
          </w:p>
          <w:p>
            <w:pPr>
              <w:pStyle w:val="31"/>
              <w:ind w:firstLine="480"/>
              <w:rPr>
                <w:rFonts w:eastAsiaTheme="minorEastAsia"/>
                <w:color w:val="auto"/>
              </w:rPr>
            </w:pPr>
            <w:r>
              <w:rPr>
                <w:rFonts w:eastAsiaTheme="minorEastAsia"/>
                <w:color w:val="auto"/>
              </w:rPr>
              <w:fldChar w:fldCharType="begin"/>
            </w:r>
            <w:r>
              <w:rPr>
                <w:rStyle w:val="47"/>
                <w:rFonts w:hint="default" w:ascii="Times New Roman" w:hAnsi="Times New Roman" w:eastAsiaTheme="minorEastAsia"/>
                <w:color w:val="auto"/>
              </w:rPr>
              <w:instrText xml:space="preserve"> = 1 \* GB3 </w:instrText>
            </w:r>
            <w:r>
              <w:rPr>
                <w:rFonts w:eastAsiaTheme="minorEastAsia"/>
                <w:color w:val="auto"/>
              </w:rPr>
              <w:fldChar w:fldCharType="separate"/>
            </w:r>
            <w:r>
              <w:rPr>
                <w:rStyle w:val="47"/>
                <w:rFonts w:hint="default" w:hAnsi="Times New Roman" w:asciiTheme="minorEastAsia" w:eastAsiaTheme="minorEastAsia"/>
                <w:color w:val="auto"/>
              </w:rPr>
              <w:t>①</w:t>
            </w:r>
            <w:r>
              <w:rPr>
                <w:rFonts w:eastAsiaTheme="minorEastAsia"/>
                <w:color w:val="auto"/>
              </w:rPr>
              <w:fldChar w:fldCharType="end"/>
            </w:r>
            <w:r>
              <w:rPr>
                <w:rFonts w:hint="eastAsia" w:eastAsiaTheme="minorEastAsia"/>
                <w:color w:val="auto"/>
              </w:rPr>
              <w:t>卸料工序粉尘</w:t>
            </w:r>
          </w:p>
          <w:p>
            <w:pPr>
              <w:pStyle w:val="25"/>
              <w:ind w:firstLine="480"/>
              <w:rPr>
                <w:rFonts w:eastAsiaTheme="minorEastAsia"/>
              </w:rPr>
            </w:pPr>
            <w:r>
              <w:rPr>
                <w:szCs w:val="24"/>
              </w:rPr>
              <w:t>本项目</w:t>
            </w:r>
            <w:r>
              <w:rPr>
                <w:rFonts w:hint="eastAsia"/>
                <w:szCs w:val="24"/>
              </w:rPr>
              <w:t>原料卸料</w:t>
            </w:r>
            <w:r>
              <w:rPr>
                <w:szCs w:val="24"/>
              </w:rPr>
              <w:t>过程中会产生粉尘，</w:t>
            </w:r>
            <w:r>
              <w:rPr>
                <w:rFonts w:hint="eastAsia"/>
                <w:szCs w:val="24"/>
              </w:rPr>
              <w:t>本项目卸料</w:t>
            </w:r>
            <w:r>
              <w:rPr>
                <w:szCs w:val="24"/>
              </w:rPr>
              <w:t>过程</w:t>
            </w:r>
            <w:r>
              <w:rPr>
                <w:rFonts w:hint="eastAsia"/>
                <w:szCs w:val="24"/>
              </w:rPr>
              <w:t>与饲料加工类项目前处理工序相同，故</w:t>
            </w:r>
            <w:r>
              <w:rPr>
                <w:szCs w:val="24"/>
              </w:rPr>
              <w:t>产污系数</w:t>
            </w:r>
            <w:r>
              <w:rPr>
                <w:rFonts w:hint="eastAsia"/>
                <w:szCs w:val="24"/>
              </w:rPr>
              <w:t>参照</w:t>
            </w:r>
            <w:r>
              <w:rPr>
                <w:szCs w:val="24"/>
              </w:rPr>
              <w:t>《第二次全国污染源普查产排污量核算（2019修订）》132饲料加工行业产排污系数表，粉尘产污系数取0.043千克/吨-产品，原料</w:t>
            </w:r>
            <w:r>
              <w:rPr>
                <w:rFonts w:hint="eastAsia"/>
                <w:szCs w:val="24"/>
              </w:rPr>
              <w:t>38000</w:t>
            </w:r>
            <w:r>
              <w:rPr>
                <w:szCs w:val="24"/>
              </w:rPr>
              <w:t>t/a，故本项目</w:t>
            </w:r>
            <w:r>
              <w:rPr>
                <w:rFonts w:hint="eastAsia"/>
                <w:szCs w:val="24"/>
              </w:rPr>
              <w:t>卸料</w:t>
            </w:r>
            <w:r>
              <w:rPr>
                <w:szCs w:val="24"/>
              </w:rPr>
              <w:t>过程粉尘产生量为1.</w:t>
            </w:r>
            <w:r>
              <w:rPr>
                <w:rFonts w:hint="eastAsia"/>
                <w:szCs w:val="24"/>
              </w:rPr>
              <w:t>634</w:t>
            </w:r>
            <w:r>
              <w:rPr>
                <w:szCs w:val="24"/>
              </w:rPr>
              <w:t>t/a。</w:t>
            </w:r>
            <w:r>
              <w:rPr>
                <w:rStyle w:val="47"/>
                <w:rFonts w:hint="default" w:ascii="Times New Roman"/>
                <w:color w:val="auto"/>
              </w:rPr>
              <w:t>项目下料坑上方设置集气罩，</w:t>
            </w:r>
            <w:r>
              <w:rPr>
                <w:rFonts w:hint="eastAsia" w:eastAsiaTheme="minorEastAsia"/>
                <w:bCs/>
                <w:szCs w:val="21"/>
              </w:rPr>
              <w:t>粉尘经布袋除尘器</w:t>
            </w:r>
            <w:r>
              <w:rPr>
                <w:rStyle w:val="47"/>
                <w:rFonts w:hint="default" w:ascii="Times New Roman"/>
                <w:color w:val="auto"/>
              </w:rPr>
              <w:t>（效率约</w:t>
            </w:r>
            <w:r>
              <w:rPr>
                <w:rStyle w:val="37"/>
                <w:rFonts w:hint="default" w:ascii="Times New Roman"/>
                <w:color w:val="auto"/>
              </w:rPr>
              <w:t>99.</w:t>
            </w:r>
            <w:r>
              <w:rPr>
                <w:rStyle w:val="37"/>
                <w:rFonts w:hint="default" w:ascii="Times New Roman" w:eastAsiaTheme="minorEastAsia"/>
                <w:color w:val="auto"/>
              </w:rPr>
              <w:t>0</w:t>
            </w:r>
            <w:r>
              <w:rPr>
                <w:rStyle w:val="37"/>
                <w:rFonts w:hint="default" w:ascii="Times New Roman"/>
                <w:color w:val="auto"/>
              </w:rPr>
              <w:t>%</w:t>
            </w:r>
            <w:r>
              <w:rPr>
                <w:rStyle w:val="47"/>
                <w:rFonts w:hint="default" w:ascii="Times New Roman"/>
                <w:color w:val="auto"/>
              </w:rPr>
              <w:t>）</w:t>
            </w:r>
            <w:r>
              <w:rPr>
                <w:rFonts w:hint="eastAsia" w:eastAsiaTheme="minorEastAsia"/>
                <w:bCs/>
                <w:szCs w:val="21"/>
              </w:rPr>
              <w:t>处理后排放，</w:t>
            </w:r>
            <w:r>
              <w:rPr>
                <w:rStyle w:val="47"/>
                <w:rFonts w:hint="default" w:ascii="Times New Roman"/>
                <w:color w:val="auto"/>
              </w:rPr>
              <w:t>通过采取上述措施后粉尘排放量约为</w:t>
            </w:r>
            <w:r>
              <w:rPr>
                <w:rStyle w:val="37"/>
                <w:rFonts w:hint="default" w:ascii="Times New Roman"/>
                <w:color w:val="auto"/>
              </w:rPr>
              <w:t>0.</w:t>
            </w:r>
            <w:r>
              <w:rPr>
                <w:rStyle w:val="37"/>
                <w:rFonts w:hint="default" w:ascii="Times New Roman" w:eastAsiaTheme="minorEastAsia"/>
                <w:color w:val="auto"/>
              </w:rPr>
              <w:t>02</w:t>
            </w:r>
            <w:r>
              <w:rPr>
                <w:rStyle w:val="37"/>
                <w:rFonts w:hint="default" w:ascii="Times New Roman"/>
                <w:color w:val="auto"/>
              </w:rPr>
              <w:t>t/a</w:t>
            </w:r>
            <w:r>
              <w:rPr>
                <w:rStyle w:val="47"/>
                <w:rFonts w:hint="default" w:ascii="Times New Roman"/>
                <w:color w:val="auto"/>
              </w:rPr>
              <w:t>。</w:t>
            </w:r>
          </w:p>
          <w:p>
            <w:pPr>
              <w:pStyle w:val="31"/>
              <w:ind w:firstLine="480"/>
              <w:rPr>
                <w:rFonts w:eastAsiaTheme="minorEastAsia"/>
                <w:bCs/>
                <w:color w:val="auto"/>
                <w:szCs w:val="21"/>
              </w:rPr>
            </w:pPr>
            <w:r>
              <w:rPr>
                <w:rFonts w:eastAsiaTheme="minorEastAsia"/>
                <w:color w:val="auto"/>
              </w:rPr>
              <w:fldChar w:fldCharType="begin"/>
            </w:r>
            <w:r>
              <w:rPr>
                <w:rStyle w:val="47"/>
                <w:rFonts w:hint="default" w:ascii="Times New Roman" w:hAnsi="Times New Roman" w:eastAsiaTheme="minorEastAsia"/>
                <w:color w:val="auto"/>
              </w:rPr>
              <w:instrText xml:space="preserve"> = 2 \* GB3 </w:instrText>
            </w:r>
            <w:r>
              <w:rPr>
                <w:rFonts w:eastAsiaTheme="minorEastAsia"/>
                <w:color w:val="auto"/>
              </w:rPr>
              <w:fldChar w:fldCharType="separate"/>
            </w:r>
            <w:r>
              <w:rPr>
                <w:rStyle w:val="47"/>
                <w:rFonts w:hint="default" w:cs="宋体"/>
                <w:color w:val="auto"/>
              </w:rPr>
              <w:t>②</w:t>
            </w:r>
            <w:r>
              <w:rPr>
                <w:rFonts w:eastAsiaTheme="minorEastAsia"/>
                <w:color w:val="auto"/>
              </w:rPr>
              <w:fldChar w:fldCharType="end"/>
            </w:r>
            <w:r>
              <w:rPr>
                <w:rFonts w:hint="eastAsia" w:eastAsiaTheme="minorEastAsia"/>
                <w:bCs/>
                <w:color w:val="auto"/>
                <w:szCs w:val="21"/>
              </w:rPr>
              <w:t>初清工序粉尘</w:t>
            </w:r>
          </w:p>
          <w:p>
            <w:pPr>
              <w:pStyle w:val="25"/>
              <w:ind w:firstLine="480"/>
              <w:rPr>
                <w:rFonts w:eastAsiaTheme="minorEastAsia"/>
                <w:bCs/>
                <w:szCs w:val="21"/>
              </w:rPr>
            </w:pPr>
            <w:r>
              <w:rPr>
                <w:rStyle w:val="47"/>
                <w:rFonts w:hint="default"/>
                <w:color w:val="auto"/>
              </w:rPr>
              <w:t>本项目粮食初清工序在粮食的筛分级输送过程中会产生一定量的粉尘。根据《散逸性工</w:t>
            </w:r>
            <w:r>
              <w:rPr>
                <w:rStyle w:val="47"/>
                <w:rFonts w:hint="default" w:ascii="Times New Roman"/>
                <w:color w:val="auto"/>
              </w:rPr>
              <w:t>业粉尘控制技术（中国环境科学出版社）》谷物仓储的逸散尘排放因子中，初清工序粉尘产生系数为</w:t>
            </w:r>
            <w:r>
              <w:rPr>
                <w:rStyle w:val="37"/>
                <w:rFonts w:hint="default" w:ascii="Times New Roman"/>
                <w:color w:val="auto"/>
              </w:rPr>
              <w:t>0.1kg/t</w:t>
            </w:r>
            <w:r>
              <w:rPr>
                <w:rStyle w:val="47"/>
                <w:rFonts w:hint="default" w:ascii="Times New Roman"/>
                <w:color w:val="auto"/>
              </w:rPr>
              <w:t>（初清料）。本项目年收购小麦和玉米共计</w:t>
            </w:r>
            <w:r>
              <w:rPr>
                <w:rStyle w:val="37"/>
                <w:rFonts w:hint="default" w:ascii="Times New Roman" w:eastAsiaTheme="minorEastAsia"/>
                <w:color w:val="auto"/>
              </w:rPr>
              <w:t>38</w:t>
            </w:r>
            <w:r>
              <w:rPr>
                <w:rStyle w:val="37"/>
                <w:rFonts w:hint="default" w:ascii="Times New Roman"/>
                <w:color w:val="auto"/>
              </w:rPr>
              <w:t>000</w:t>
            </w:r>
            <w:r>
              <w:rPr>
                <w:rStyle w:val="47"/>
                <w:rFonts w:hint="default" w:ascii="Times New Roman"/>
                <w:color w:val="auto"/>
              </w:rPr>
              <w:t>吨，则初清粉尘产生量约为</w:t>
            </w:r>
            <w:r>
              <w:rPr>
                <w:rStyle w:val="37"/>
                <w:rFonts w:hint="default" w:ascii="Times New Roman" w:eastAsiaTheme="minorEastAsia"/>
                <w:color w:val="auto"/>
              </w:rPr>
              <w:t>3.8</w:t>
            </w:r>
            <w:r>
              <w:rPr>
                <w:rStyle w:val="37"/>
                <w:rFonts w:hint="default" w:ascii="Times New Roman"/>
                <w:color w:val="auto"/>
              </w:rPr>
              <w:t>t/a</w:t>
            </w:r>
            <w:r>
              <w:rPr>
                <w:rStyle w:val="47"/>
                <w:rFonts w:hint="default" w:ascii="Times New Roman"/>
                <w:color w:val="auto"/>
              </w:rPr>
              <w:t>。筛分工段采用移动式清理筛对粮食进行初筛，设备自带集气罩、布袋除尘器（效率约</w:t>
            </w:r>
            <w:r>
              <w:rPr>
                <w:rStyle w:val="37"/>
                <w:rFonts w:hint="default" w:ascii="Times New Roman"/>
                <w:color w:val="auto"/>
              </w:rPr>
              <w:t>99.</w:t>
            </w:r>
            <w:r>
              <w:rPr>
                <w:rStyle w:val="37"/>
                <w:rFonts w:hint="default" w:ascii="Times New Roman" w:eastAsiaTheme="minorEastAsia"/>
                <w:color w:val="auto"/>
              </w:rPr>
              <w:t>0</w:t>
            </w:r>
            <w:r>
              <w:rPr>
                <w:rStyle w:val="37"/>
                <w:rFonts w:hint="default" w:ascii="Times New Roman"/>
                <w:color w:val="auto"/>
              </w:rPr>
              <w:t>%</w:t>
            </w:r>
            <w:r>
              <w:rPr>
                <w:rStyle w:val="47"/>
                <w:rFonts w:hint="default" w:ascii="Times New Roman"/>
                <w:color w:val="auto"/>
              </w:rPr>
              <w:t>），通过采取上述措施后粉尘排放量约为</w:t>
            </w:r>
            <w:r>
              <w:rPr>
                <w:rStyle w:val="37"/>
                <w:rFonts w:hint="default" w:ascii="Times New Roman"/>
                <w:color w:val="auto"/>
              </w:rPr>
              <w:t>0.</w:t>
            </w:r>
            <w:r>
              <w:rPr>
                <w:rStyle w:val="37"/>
                <w:rFonts w:hint="default" w:ascii="Times New Roman" w:eastAsiaTheme="minorEastAsia"/>
                <w:color w:val="auto"/>
              </w:rPr>
              <w:t>038</w:t>
            </w:r>
            <w:r>
              <w:rPr>
                <w:rStyle w:val="37"/>
                <w:rFonts w:hint="default" w:ascii="Times New Roman"/>
                <w:color w:val="auto"/>
              </w:rPr>
              <w:t>t/a</w:t>
            </w:r>
            <w:r>
              <w:rPr>
                <w:rStyle w:val="47"/>
                <w:rFonts w:hint="default" w:ascii="Times New Roman"/>
                <w:color w:val="auto"/>
              </w:rPr>
              <w:t>。</w:t>
            </w:r>
          </w:p>
          <w:p>
            <w:pPr>
              <w:pStyle w:val="31"/>
              <w:ind w:firstLine="480"/>
              <w:rPr>
                <w:rFonts w:eastAsiaTheme="minorEastAsia"/>
                <w:bCs/>
                <w:color w:val="auto"/>
                <w:szCs w:val="21"/>
              </w:rPr>
            </w:pPr>
            <w:r>
              <w:rPr>
                <w:rFonts w:eastAsiaTheme="minorEastAsia"/>
                <w:color w:val="auto"/>
                <w:szCs w:val="21"/>
              </w:rPr>
              <w:fldChar w:fldCharType="begin"/>
            </w:r>
            <w:r>
              <w:rPr>
                <w:rFonts w:eastAsiaTheme="minorEastAsia"/>
                <w:color w:val="auto"/>
                <w:szCs w:val="21"/>
              </w:rPr>
              <w:instrText xml:space="preserve"> </w:instrText>
            </w:r>
            <w:r>
              <w:rPr>
                <w:rFonts w:hint="eastAsia" w:eastAsiaTheme="minorEastAsia"/>
                <w:color w:val="auto"/>
                <w:szCs w:val="21"/>
              </w:rPr>
              <w:instrText xml:space="preserve">= 3 \* GB3</w:instrText>
            </w:r>
            <w:r>
              <w:rPr>
                <w:rFonts w:eastAsiaTheme="minorEastAsia"/>
                <w:color w:val="auto"/>
                <w:szCs w:val="21"/>
              </w:rPr>
              <w:instrText xml:space="preserve"> </w:instrText>
            </w:r>
            <w:r>
              <w:rPr>
                <w:rFonts w:eastAsiaTheme="minorEastAsia"/>
                <w:color w:val="auto"/>
                <w:szCs w:val="21"/>
              </w:rPr>
              <w:fldChar w:fldCharType="separate"/>
            </w:r>
            <w:r>
              <w:rPr>
                <w:rFonts w:hint="eastAsia" w:eastAsiaTheme="minorEastAsia"/>
                <w:color w:val="auto"/>
                <w:szCs w:val="21"/>
              </w:rPr>
              <w:t>③</w:t>
            </w:r>
            <w:r>
              <w:rPr>
                <w:rFonts w:eastAsiaTheme="minorEastAsia"/>
                <w:color w:val="auto"/>
                <w:szCs w:val="21"/>
              </w:rPr>
              <w:fldChar w:fldCharType="end"/>
            </w:r>
            <w:r>
              <w:rPr>
                <w:rFonts w:hint="eastAsia" w:eastAsiaTheme="minorEastAsia"/>
                <w:bCs/>
                <w:color w:val="auto"/>
                <w:szCs w:val="21"/>
              </w:rPr>
              <w:t>烘干粉尘</w:t>
            </w:r>
          </w:p>
          <w:p>
            <w:pPr>
              <w:pStyle w:val="25"/>
              <w:ind w:firstLine="480"/>
              <w:rPr>
                <w:rFonts w:cs="宋体"/>
              </w:rPr>
            </w:pPr>
            <w:r>
              <w:rPr>
                <w:rStyle w:val="47"/>
                <w:rFonts w:hint="default"/>
                <w:color w:val="auto"/>
              </w:rPr>
              <w:t>本项目玉米在烘干过程中将会产生一定量的粉尘，根据《散逸性工业粉尘控制技术（中国环境科学出版社）</w:t>
            </w:r>
            <w:r>
              <w:rPr>
                <w:rStyle w:val="47"/>
                <w:rFonts w:hint="default" w:ascii="Times New Roman"/>
                <w:color w:val="auto"/>
              </w:rPr>
              <w:t>》，柱式烘干塔粉尘产生系数为</w:t>
            </w:r>
            <w:r>
              <w:rPr>
                <w:rStyle w:val="37"/>
                <w:rFonts w:hint="default" w:ascii="Times New Roman"/>
                <w:color w:val="auto"/>
              </w:rPr>
              <w:t>0.1kg/t</w:t>
            </w:r>
            <w:r>
              <w:rPr>
                <w:rStyle w:val="47"/>
                <w:rFonts w:hint="default" w:ascii="Times New Roman"/>
                <w:color w:val="auto"/>
              </w:rPr>
              <w:t>（干燥料）。进入烘干塔的粮食量为</w:t>
            </w:r>
            <w:r>
              <w:rPr>
                <w:rStyle w:val="37"/>
                <w:rFonts w:hint="default" w:ascii="Times New Roman" w:eastAsiaTheme="minorEastAsia"/>
                <w:color w:val="auto"/>
              </w:rPr>
              <w:t>380</w:t>
            </w:r>
            <w:r>
              <w:rPr>
                <w:rStyle w:val="37"/>
                <w:rFonts w:hint="default" w:ascii="Times New Roman"/>
                <w:color w:val="auto"/>
              </w:rPr>
              <w:t>00t/a</w:t>
            </w:r>
            <w:r>
              <w:rPr>
                <w:rStyle w:val="47"/>
                <w:rFonts w:hint="default" w:ascii="Times New Roman"/>
                <w:color w:val="auto"/>
              </w:rPr>
              <w:t>，则本项目烘干粉尘产生量为</w:t>
            </w:r>
            <w:r>
              <w:rPr>
                <w:rStyle w:val="37"/>
                <w:rFonts w:hint="default" w:ascii="Times New Roman" w:eastAsiaTheme="minorEastAsia"/>
                <w:color w:val="auto"/>
              </w:rPr>
              <w:t>3.8</w:t>
            </w:r>
            <w:r>
              <w:rPr>
                <w:rStyle w:val="37"/>
                <w:rFonts w:hint="default" w:ascii="Times New Roman"/>
                <w:color w:val="auto"/>
              </w:rPr>
              <w:t>t/a</w:t>
            </w:r>
            <w:r>
              <w:rPr>
                <w:rStyle w:val="47"/>
                <w:rFonts w:hint="default" w:ascii="Times New Roman"/>
                <w:color w:val="auto"/>
              </w:rPr>
              <w:t>。烘干塔粉尘主要来源于粮食沾裹的粉尘和灰尘，以及粮食在烘干过程中由于调节轮毂间隙过小、流速过快使粮食破碎而产生的粉尘，本项目烘干塔顶设置负压集气罩，用引风机将塔顶潮湿气体和粉尘引向下方，粉尘在管道内进行沉降落到下方灰斗，同时将塔体排潮孔外设置金属防尘挡板，烘干塔内部自带重力沉降室，四周设置防尘挡板，高度与烘干塔高度一致，粉尘受挡板格挡后受重力作用回落到烘干塔底部灰斗中，可有效防止烘干塔粉尘的无组织排放，通过采取以上措施，正常情况下粉尘收集效率可保证在</w:t>
            </w:r>
            <w:r>
              <w:rPr>
                <w:rStyle w:val="37"/>
                <w:rFonts w:hint="default" w:ascii="Times New Roman"/>
                <w:color w:val="auto"/>
              </w:rPr>
              <w:t>60%</w:t>
            </w:r>
            <w:r>
              <w:rPr>
                <w:rStyle w:val="47"/>
                <w:rFonts w:hint="default" w:ascii="Times New Roman"/>
                <w:color w:val="auto"/>
              </w:rPr>
              <w:t>，其余</w:t>
            </w:r>
            <w:r>
              <w:rPr>
                <w:rStyle w:val="37"/>
                <w:rFonts w:hint="default" w:ascii="Times New Roman"/>
                <w:color w:val="auto"/>
              </w:rPr>
              <w:t>40%</w:t>
            </w:r>
            <w:r>
              <w:rPr>
                <w:rStyle w:val="47"/>
                <w:rFonts w:hint="default" w:ascii="Times New Roman"/>
                <w:color w:val="auto"/>
              </w:rPr>
              <w:t>粉尘以无组织形式排放。本项目烘干粉尘无组织排放量约为</w:t>
            </w:r>
            <w:r>
              <w:rPr>
                <w:rStyle w:val="37"/>
                <w:rFonts w:hint="default" w:ascii="Times New Roman"/>
                <w:color w:val="auto"/>
              </w:rPr>
              <w:t>1.</w:t>
            </w:r>
            <w:r>
              <w:rPr>
                <w:rStyle w:val="37"/>
                <w:rFonts w:hint="default" w:ascii="Times New Roman" w:eastAsiaTheme="minorEastAsia"/>
                <w:color w:val="auto"/>
              </w:rPr>
              <w:t>52t</w:t>
            </w:r>
            <w:r>
              <w:rPr>
                <w:rStyle w:val="37"/>
                <w:rFonts w:hint="default" w:ascii="Times New Roman"/>
                <w:color w:val="auto"/>
              </w:rPr>
              <w:t>/a</w:t>
            </w:r>
            <w:r>
              <w:rPr>
                <w:rStyle w:val="47"/>
                <w:rFonts w:hint="default" w:ascii="Times New Roman"/>
                <w:color w:val="auto"/>
              </w:rPr>
              <w:t>。</w:t>
            </w:r>
          </w:p>
          <w:p>
            <w:pPr>
              <w:pStyle w:val="31"/>
              <w:ind w:firstLine="480"/>
              <w:rPr>
                <w:rFonts w:eastAsiaTheme="minorEastAsia"/>
                <w:color w:val="auto"/>
                <w:szCs w:val="21"/>
              </w:rPr>
            </w:pPr>
            <w:r>
              <w:rPr>
                <w:rFonts w:eastAsiaTheme="minorEastAsia"/>
                <w:color w:val="auto"/>
                <w:szCs w:val="21"/>
              </w:rPr>
              <w:fldChar w:fldCharType="begin"/>
            </w:r>
            <w:r>
              <w:rPr>
                <w:rFonts w:eastAsiaTheme="minorEastAsia"/>
                <w:color w:val="auto"/>
                <w:szCs w:val="21"/>
              </w:rPr>
              <w:instrText xml:space="preserve"> </w:instrText>
            </w:r>
            <w:r>
              <w:rPr>
                <w:rFonts w:hint="eastAsia" w:eastAsiaTheme="minorEastAsia"/>
                <w:color w:val="auto"/>
                <w:szCs w:val="21"/>
              </w:rPr>
              <w:instrText xml:space="preserve">= 4 \* GB3</w:instrText>
            </w:r>
            <w:r>
              <w:rPr>
                <w:rFonts w:eastAsiaTheme="minorEastAsia"/>
                <w:color w:val="auto"/>
                <w:szCs w:val="21"/>
              </w:rPr>
              <w:instrText xml:space="preserve"> </w:instrText>
            </w:r>
            <w:r>
              <w:rPr>
                <w:rFonts w:eastAsiaTheme="minorEastAsia"/>
                <w:color w:val="auto"/>
                <w:szCs w:val="21"/>
              </w:rPr>
              <w:fldChar w:fldCharType="separate"/>
            </w:r>
            <w:r>
              <w:rPr>
                <w:rFonts w:hint="eastAsia" w:eastAsiaTheme="minorEastAsia"/>
                <w:color w:val="auto"/>
                <w:szCs w:val="21"/>
              </w:rPr>
              <w:t>④</w:t>
            </w:r>
            <w:r>
              <w:rPr>
                <w:rFonts w:eastAsiaTheme="minorEastAsia"/>
                <w:color w:val="auto"/>
                <w:szCs w:val="21"/>
              </w:rPr>
              <w:fldChar w:fldCharType="end"/>
            </w:r>
            <w:r>
              <w:rPr>
                <w:rFonts w:hint="eastAsia" w:eastAsiaTheme="minorEastAsia"/>
                <w:color w:val="auto"/>
                <w:szCs w:val="21"/>
              </w:rPr>
              <w:t>生物质热风炉燃烧废气</w:t>
            </w:r>
          </w:p>
          <w:p>
            <w:pPr>
              <w:pStyle w:val="31"/>
              <w:ind w:firstLine="480"/>
              <w:rPr>
                <w:rFonts w:hint="default" w:ascii="宋体" w:hAnsi="宋体" w:cs="宋体"/>
                <w:color w:val="auto"/>
                <w:kern w:val="0"/>
                <w:lang w:val="en-US" w:eastAsia="zh-CN"/>
              </w:rPr>
            </w:pPr>
            <w:r>
              <w:rPr>
                <w:rFonts w:ascii="宋体" w:hAnsi="宋体" w:cs="宋体"/>
                <w:color w:val="auto"/>
                <w:kern w:val="0"/>
              </w:rPr>
              <w:t>本项目年消耗生物质颗粒</w:t>
            </w:r>
            <w:r>
              <w:rPr>
                <w:rFonts w:hint="eastAsia"/>
                <w:color w:val="auto"/>
                <w:kern w:val="0"/>
              </w:rPr>
              <w:t>1360</w:t>
            </w:r>
            <w:r>
              <w:rPr>
                <w:color w:val="auto"/>
                <w:kern w:val="0"/>
              </w:rPr>
              <w:t>t</w:t>
            </w:r>
            <w:r>
              <w:rPr>
                <w:rFonts w:ascii="宋体" w:hAnsi="宋体" w:cs="宋体"/>
                <w:color w:val="auto"/>
                <w:kern w:val="0"/>
              </w:rPr>
              <w:t>，年运行</w:t>
            </w:r>
            <w:r>
              <w:rPr>
                <w:color w:val="auto"/>
                <w:kern w:val="0"/>
              </w:rPr>
              <w:t>1</w:t>
            </w:r>
            <w:r>
              <w:rPr>
                <w:rFonts w:hint="eastAsia"/>
                <w:color w:val="auto"/>
                <w:kern w:val="0"/>
              </w:rPr>
              <w:t>92</w:t>
            </w:r>
            <w:r>
              <w:rPr>
                <w:color w:val="auto"/>
                <w:kern w:val="0"/>
              </w:rPr>
              <w:t>0h</w:t>
            </w:r>
            <w:r>
              <w:rPr>
                <w:rFonts w:ascii="宋体" w:hAnsi="宋体" w:cs="宋体"/>
                <w:color w:val="auto"/>
                <w:kern w:val="0"/>
              </w:rPr>
              <w:t>，设置</w:t>
            </w:r>
            <w:r>
              <w:rPr>
                <w:color w:val="auto"/>
                <w:kern w:val="0"/>
              </w:rPr>
              <w:t>1</w:t>
            </w:r>
            <w:r>
              <w:rPr>
                <w:rFonts w:ascii="宋体" w:hAnsi="宋体" w:cs="宋体"/>
                <w:color w:val="auto"/>
                <w:kern w:val="0"/>
              </w:rPr>
              <w:t>根</w:t>
            </w:r>
            <w:r>
              <w:rPr>
                <w:rFonts w:hint="eastAsia"/>
                <w:color w:val="auto"/>
                <w:kern w:val="0"/>
                <w:lang w:val="en-US" w:eastAsia="zh-CN"/>
              </w:rPr>
              <w:t>1</w:t>
            </w:r>
            <w:r>
              <w:rPr>
                <w:rFonts w:hint="eastAsia"/>
                <w:color w:val="auto"/>
                <w:kern w:val="0"/>
              </w:rPr>
              <w:t>5</w:t>
            </w:r>
            <w:r>
              <w:rPr>
                <w:color w:val="auto"/>
                <w:kern w:val="0"/>
              </w:rPr>
              <w:t>m</w:t>
            </w:r>
            <w:r>
              <w:rPr>
                <w:rFonts w:ascii="宋体" w:hAnsi="宋体" w:cs="宋体"/>
                <w:color w:val="auto"/>
                <w:kern w:val="0"/>
              </w:rPr>
              <w:t>高排气筒（</w:t>
            </w:r>
            <w:r>
              <w:rPr>
                <w:color w:val="auto"/>
                <w:kern w:val="0"/>
              </w:rPr>
              <w:t>DA001</w:t>
            </w:r>
            <w:r>
              <w:rPr>
                <w:rFonts w:ascii="宋体" w:hAnsi="宋体" w:cs="宋体"/>
                <w:color w:val="auto"/>
                <w:kern w:val="0"/>
              </w:rPr>
              <w:t>）。产生的废气污染物主要为烟尘、</w:t>
            </w:r>
            <w:r>
              <w:rPr>
                <w:color w:val="auto"/>
                <w:kern w:val="0"/>
              </w:rPr>
              <w:t>SO</w:t>
            </w:r>
            <w:r>
              <w:rPr>
                <w:color w:val="auto"/>
                <w:kern w:val="0"/>
                <w:sz w:val="16"/>
              </w:rPr>
              <w:t xml:space="preserve">2 </w:t>
            </w:r>
            <w:r>
              <w:rPr>
                <w:rFonts w:ascii="宋体" w:hAnsi="宋体" w:cs="宋体"/>
                <w:color w:val="auto"/>
                <w:kern w:val="0"/>
              </w:rPr>
              <w:t>和</w:t>
            </w:r>
            <w:r>
              <w:rPr>
                <w:color w:val="auto"/>
                <w:kern w:val="0"/>
              </w:rPr>
              <w:t>NO</w:t>
            </w:r>
            <w:r>
              <w:rPr>
                <w:color w:val="auto"/>
                <w:kern w:val="0"/>
                <w:sz w:val="16"/>
              </w:rPr>
              <w:t>X</w:t>
            </w:r>
            <w:r>
              <w:rPr>
                <w:rFonts w:ascii="宋体" w:hAnsi="宋体" w:cs="宋体"/>
                <w:color w:val="auto"/>
                <w:kern w:val="0"/>
              </w:rPr>
              <w:t>。其产污系数参照《排放源统计调查产排污核算方法和系数手册工业污染源产排系数手册》中（</w:t>
            </w:r>
            <w:r>
              <w:rPr>
                <w:color w:val="auto"/>
                <w:kern w:val="0"/>
              </w:rPr>
              <w:t>4430</w:t>
            </w:r>
            <w:r>
              <w:rPr>
                <w:rFonts w:ascii="宋体" w:hAnsi="宋体" w:cs="宋体"/>
                <w:color w:val="auto"/>
                <w:kern w:val="0"/>
              </w:rPr>
              <w:t>工业热风炉（热力生产和供应行业）产排污系数表</w:t>
            </w:r>
            <w:r>
              <w:rPr>
                <w:color w:val="auto"/>
                <w:kern w:val="0"/>
              </w:rPr>
              <w:t>-</w:t>
            </w:r>
            <w:r>
              <w:rPr>
                <w:rFonts w:ascii="宋体" w:hAnsi="宋体" w:cs="宋体"/>
                <w:color w:val="auto"/>
                <w:kern w:val="0"/>
              </w:rPr>
              <w:t>生物质工业热风炉）产污系数表中烟尘、</w:t>
            </w:r>
            <w:r>
              <w:rPr>
                <w:color w:val="auto"/>
                <w:kern w:val="0"/>
              </w:rPr>
              <w:t>SO</w:t>
            </w:r>
            <w:r>
              <w:rPr>
                <w:color w:val="auto"/>
                <w:kern w:val="0"/>
                <w:sz w:val="16"/>
              </w:rPr>
              <w:t>2</w:t>
            </w:r>
            <w:r>
              <w:rPr>
                <w:rFonts w:ascii="宋体" w:hAnsi="宋体" w:cs="宋体"/>
                <w:color w:val="auto"/>
                <w:kern w:val="0"/>
              </w:rPr>
              <w:t>、</w:t>
            </w:r>
            <w:r>
              <w:rPr>
                <w:color w:val="auto"/>
                <w:kern w:val="0"/>
              </w:rPr>
              <w:t>NOx</w:t>
            </w:r>
            <w:r>
              <w:rPr>
                <w:rFonts w:ascii="宋体" w:hAnsi="宋体" w:cs="宋体"/>
                <w:color w:val="auto"/>
                <w:kern w:val="0"/>
              </w:rPr>
              <w:t>产排污系数计算。</w:t>
            </w:r>
            <w:r>
              <w:rPr>
                <w:rFonts w:hint="default" w:ascii="Times New Roman" w:hAnsi="Times New Roman" w:cs="Times New Roman"/>
                <w:color w:val="FF0000"/>
                <w:kern w:val="0"/>
                <w:lang w:eastAsia="zh-CN"/>
              </w:rPr>
              <w:t>根据《中国农村地区生物质燃料燃烧的汞排放研究》，生物质燃料汞及其化合物排污系数为</w:t>
            </w:r>
            <w:r>
              <w:rPr>
                <w:rFonts w:hint="default" w:ascii="Times New Roman" w:hAnsi="Times New Roman" w:cs="Times New Roman"/>
                <w:color w:val="FF0000"/>
                <w:kern w:val="0"/>
                <w:lang w:val="en-US" w:eastAsia="zh-CN"/>
              </w:rPr>
              <w:t>0.02g/t</w:t>
            </w:r>
            <w:r>
              <w:rPr>
                <w:rFonts w:hint="eastAsia" w:ascii="Times New Roman" w:hAnsi="Times New Roman" w:cs="Times New Roman"/>
                <w:color w:val="FF0000"/>
                <w:kern w:val="0"/>
                <w:lang w:val="en-US" w:eastAsia="zh-CN"/>
              </w:rPr>
              <w:t>，汞排放量为0.02</w:t>
            </w:r>
            <w:r>
              <w:rPr>
                <w:rFonts w:hint="default" w:ascii="Arial" w:hAnsi="Arial" w:cs="Arial"/>
                <w:color w:val="FF0000"/>
                <w:kern w:val="0"/>
                <w:lang w:val="en-US" w:eastAsia="zh-CN"/>
              </w:rPr>
              <w:t>×</w:t>
            </w:r>
            <w:r>
              <w:rPr>
                <w:rFonts w:hint="eastAsia" w:ascii="Times New Roman" w:hAnsi="Times New Roman" w:cs="Times New Roman"/>
                <w:color w:val="FF0000"/>
                <w:kern w:val="0"/>
                <w:lang w:val="en-US" w:eastAsia="zh-CN"/>
              </w:rPr>
              <w:t>1360=27.2g/a</w:t>
            </w:r>
            <w:r>
              <w:rPr>
                <w:rFonts w:hint="default" w:ascii="Times New Roman" w:hAnsi="Times New Roman" w:cs="Times New Roman"/>
                <w:color w:val="FF0000"/>
                <w:kern w:val="0"/>
                <w:lang w:val="en-US" w:eastAsia="zh-CN"/>
              </w:rPr>
              <w:t>。</w:t>
            </w:r>
          </w:p>
          <w:p>
            <w:pPr>
              <w:pStyle w:val="31"/>
              <w:ind w:firstLine="480"/>
              <w:rPr>
                <w:rFonts w:ascii="宋体" w:hAnsi="宋体" w:cs="宋体"/>
                <w:color w:val="auto"/>
                <w:kern w:val="0"/>
              </w:rPr>
            </w:pPr>
            <w:r>
              <w:rPr>
                <w:rFonts w:ascii="宋体" w:hAnsi="宋体" w:cs="宋体"/>
                <w:color w:val="auto"/>
                <w:kern w:val="0"/>
              </w:rPr>
              <w:t>本项目热风炉烟气经布袋除尘器处理后，由</w:t>
            </w:r>
            <w:r>
              <w:rPr>
                <w:color w:val="auto"/>
                <w:kern w:val="0"/>
              </w:rPr>
              <w:t>1</w:t>
            </w:r>
            <w:r>
              <w:rPr>
                <w:rFonts w:ascii="宋体" w:hAnsi="宋体" w:cs="宋体"/>
                <w:color w:val="auto"/>
                <w:kern w:val="0"/>
              </w:rPr>
              <w:t>根</w:t>
            </w:r>
            <w:r>
              <w:rPr>
                <w:rFonts w:hint="eastAsia"/>
                <w:color w:val="auto"/>
                <w:kern w:val="0"/>
                <w:lang w:eastAsia="zh-CN"/>
              </w:rPr>
              <w:t>15m</w:t>
            </w:r>
            <w:r>
              <w:rPr>
                <w:rFonts w:ascii="宋体" w:hAnsi="宋体" w:cs="宋体"/>
                <w:color w:val="auto"/>
                <w:kern w:val="0"/>
              </w:rPr>
              <w:t>高排气筒（</w:t>
            </w:r>
            <w:r>
              <w:rPr>
                <w:color w:val="auto"/>
                <w:kern w:val="0"/>
              </w:rPr>
              <w:t>DA001</w:t>
            </w:r>
            <w:r>
              <w:rPr>
                <w:rFonts w:ascii="宋体" w:hAnsi="宋体" w:cs="宋体"/>
                <w:color w:val="auto"/>
                <w:kern w:val="0"/>
              </w:rPr>
              <w:t>）排放。烟尘去除效率为</w:t>
            </w:r>
            <w:r>
              <w:rPr>
                <w:color w:val="auto"/>
                <w:kern w:val="0"/>
              </w:rPr>
              <w:t>99.7%</w:t>
            </w:r>
            <w:r>
              <w:rPr>
                <w:rFonts w:ascii="宋体" w:hAnsi="宋体" w:cs="宋体"/>
                <w:color w:val="auto"/>
                <w:kern w:val="0"/>
              </w:rPr>
              <w:t>。计算得出热风炉废气产生及排放情况如下表。</w:t>
            </w:r>
          </w:p>
          <w:p>
            <w:pPr>
              <w:pStyle w:val="36"/>
              <w:spacing w:before="96" w:after="24"/>
              <w:rPr>
                <w:kern w:val="0"/>
              </w:rPr>
            </w:pPr>
            <w:r>
              <w:rPr>
                <w:kern w:val="0"/>
              </w:rPr>
              <w:t>表</w:t>
            </w:r>
            <w:r>
              <w:rPr>
                <w:rFonts w:hint="eastAsia"/>
                <w:bCs/>
                <w:kern w:val="0"/>
                <w:szCs w:val="22"/>
              </w:rPr>
              <w:t xml:space="preserve">17   </w:t>
            </w:r>
            <w:r>
              <w:rPr>
                <w:bCs/>
                <w:kern w:val="0"/>
                <w:szCs w:val="22"/>
              </w:rPr>
              <w:t xml:space="preserve"> </w:t>
            </w:r>
            <w:r>
              <w:rPr>
                <w:kern w:val="0"/>
              </w:rPr>
              <w:t>工业热风炉产品排污系数表</w:t>
            </w:r>
            <w:r>
              <w:rPr>
                <w:bCs/>
                <w:kern w:val="0"/>
                <w:szCs w:val="22"/>
              </w:rPr>
              <w:t>--</w:t>
            </w:r>
            <w:r>
              <w:rPr>
                <w:kern w:val="0"/>
              </w:rPr>
              <w:t>生物质热风炉（层燃炉）</w:t>
            </w:r>
          </w:p>
          <w:tbl>
            <w:tblPr>
              <w:tblStyle w:val="18"/>
              <w:tblW w:w="4955"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57"/>
              <w:gridCol w:w="735"/>
              <w:gridCol w:w="1819"/>
              <w:gridCol w:w="1352"/>
              <w:gridCol w:w="1181"/>
              <w:gridCol w:w="1132"/>
              <w:gridCol w:w="87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82" w:type="pct"/>
                  <w:tcBorders>
                    <w:top w:val="single" w:color="auto" w:sz="12" w:space="0"/>
                    <w:left w:val="nil"/>
                    <w:bottom w:val="single" w:color="auto" w:sz="4" w:space="0"/>
                    <w:right w:val="single" w:color="auto" w:sz="4" w:space="0"/>
                  </w:tcBorders>
                  <w:vAlign w:val="center"/>
                </w:tcPr>
                <w:p>
                  <w:pPr>
                    <w:pStyle w:val="57"/>
                    <w:rPr>
                      <w:kern w:val="0"/>
                      <w:sz w:val="24"/>
                    </w:rPr>
                  </w:pPr>
                  <w:r>
                    <w:rPr>
                      <w:kern w:val="0"/>
                    </w:rPr>
                    <w:t>原料名称</w:t>
                  </w:r>
                </w:p>
              </w:tc>
              <w:tc>
                <w:tcPr>
                  <w:tcW w:w="468" w:type="pct"/>
                  <w:tcBorders>
                    <w:top w:val="single" w:color="auto" w:sz="12" w:space="0"/>
                    <w:left w:val="single" w:color="auto" w:sz="4" w:space="0"/>
                    <w:bottom w:val="single" w:color="auto" w:sz="4" w:space="0"/>
                    <w:right w:val="single" w:color="auto" w:sz="4" w:space="0"/>
                  </w:tcBorders>
                  <w:vAlign w:val="center"/>
                </w:tcPr>
                <w:p>
                  <w:pPr>
                    <w:pStyle w:val="57"/>
                    <w:rPr>
                      <w:kern w:val="0"/>
                      <w:sz w:val="24"/>
                    </w:rPr>
                  </w:pPr>
                  <w:r>
                    <w:rPr>
                      <w:kern w:val="0"/>
                    </w:rPr>
                    <w:t>规模等级</w:t>
                  </w:r>
                </w:p>
              </w:tc>
              <w:tc>
                <w:tcPr>
                  <w:tcW w:w="1157" w:type="pct"/>
                  <w:tcBorders>
                    <w:top w:val="single" w:color="auto" w:sz="12" w:space="0"/>
                    <w:left w:val="single" w:color="auto" w:sz="4" w:space="0"/>
                    <w:bottom w:val="single" w:color="auto" w:sz="4" w:space="0"/>
                    <w:right w:val="single" w:color="auto" w:sz="4" w:space="0"/>
                  </w:tcBorders>
                  <w:vAlign w:val="center"/>
                </w:tcPr>
                <w:p>
                  <w:pPr>
                    <w:pStyle w:val="57"/>
                    <w:rPr>
                      <w:kern w:val="0"/>
                      <w:sz w:val="24"/>
                    </w:rPr>
                  </w:pPr>
                  <w:r>
                    <w:rPr>
                      <w:kern w:val="0"/>
                    </w:rPr>
                    <w:t>污染物指标</w:t>
                  </w:r>
                </w:p>
              </w:tc>
              <w:tc>
                <w:tcPr>
                  <w:tcW w:w="860" w:type="pct"/>
                  <w:tcBorders>
                    <w:top w:val="single" w:color="auto" w:sz="12" w:space="0"/>
                    <w:left w:val="single" w:color="auto" w:sz="4" w:space="0"/>
                    <w:bottom w:val="single" w:color="auto" w:sz="4" w:space="0"/>
                    <w:right w:val="single" w:color="auto" w:sz="4" w:space="0"/>
                  </w:tcBorders>
                  <w:vAlign w:val="center"/>
                </w:tcPr>
                <w:p>
                  <w:pPr>
                    <w:pStyle w:val="57"/>
                    <w:rPr>
                      <w:kern w:val="0"/>
                      <w:sz w:val="24"/>
                    </w:rPr>
                  </w:pPr>
                  <w:r>
                    <w:rPr>
                      <w:kern w:val="0"/>
                    </w:rPr>
                    <w:t>单位</w:t>
                  </w:r>
                </w:p>
              </w:tc>
              <w:tc>
                <w:tcPr>
                  <w:tcW w:w="751" w:type="pct"/>
                  <w:tcBorders>
                    <w:top w:val="single" w:color="auto" w:sz="12" w:space="0"/>
                    <w:left w:val="single" w:color="auto" w:sz="4" w:space="0"/>
                    <w:bottom w:val="single" w:color="auto" w:sz="4" w:space="0"/>
                    <w:right w:val="single" w:color="auto" w:sz="4" w:space="0"/>
                  </w:tcBorders>
                  <w:vAlign w:val="center"/>
                </w:tcPr>
                <w:p>
                  <w:pPr>
                    <w:pStyle w:val="57"/>
                    <w:rPr>
                      <w:kern w:val="0"/>
                      <w:sz w:val="24"/>
                    </w:rPr>
                  </w:pPr>
                  <w:r>
                    <w:rPr>
                      <w:kern w:val="0"/>
                    </w:rPr>
                    <w:t>产污系数</w:t>
                  </w:r>
                </w:p>
              </w:tc>
              <w:tc>
                <w:tcPr>
                  <w:tcW w:w="720" w:type="pct"/>
                  <w:tcBorders>
                    <w:top w:val="single" w:color="auto" w:sz="12" w:space="0"/>
                    <w:left w:val="single" w:color="auto" w:sz="4" w:space="0"/>
                    <w:bottom w:val="single" w:color="auto" w:sz="4" w:space="0"/>
                    <w:right w:val="single" w:color="auto" w:sz="4" w:space="0"/>
                  </w:tcBorders>
                  <w:vAlign w:val="center"/>
                </w:tcPr>
                <w:p>
                  <w:pPr>
                    <w:pStyle w:val="57"/>
                    <w:rPr>
                      <w:kern w:val="0"/>
                      <w:sz w:val="24"/>
                    </w:rPr>
                  </w:pPr>
                  <w:r>
                    <w:rPr>
                      <w:kern w:val="0"/>
                    </w:rPr>
                    <w:t>末端治理技术名称</w:t>
                  </w:r>
                </w:p>
              </w:tc>
              <w:tc>
                <w:tcPr>
                  <w:tcW w:w="559" w:type="pct"/>
                  <w:tcBorders>
                    <w:top w:val="single" w:color="auto" w:sz="12" w:space="0"/>
                    <w:left w:val="single" w:color="auto" w:sz="4" w:space="0"/>
                    <w:bottom w:val="single" w:color="auto" w:sz="4" w:space="0"/>
                    <w:right w:val="nil"/>
                  </w:tcBorders>
                  <w:vAlign w:val="center"/>
                </w:tcPr>
                <w:p>
                  <w:pPr>
                    <w:pStyle w:val="57"/>
                    <w:rPr>
                      <w:kern w:val="0"/>
                      <w:sz w:val="24"/>
                    </w:rPr>
                  </w:pPr>
                  <w:r>
                    <w:rPr>
                      <w:kern w:val="0"/>
                    </w:rPr>
                    <w:t>去除效率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82" w:type="pct"/>
                  <w:vMerge w:val="restart"/>
                  <w:tcBorders>
                    <w:top w:val="single" w:color="auto" w:sz="4" w:space="0"/>
                    <w:left w:val="nil"/>
                    <w:right w:val="single" w:color="auto" w:sz="4" w:space="0"/>
                  </w:tcBorders>
                  <w:vAlign w:val="center"/>
                </w:tcPr>
                <w:p>
                  <w:pPr>
                    <w:pStyle w:val="57"/>
                    <w:rPr>
                      <w:kern w:val="0"/>
                      <w:sz w:val="24"/>
                    </w:rPr>
                  </w:pPr>
                  <w:r>
                    <w:rPr>
                      <w:kern w:val="0"/>
                    </w:rPr>
                    <w:t>生物质</w:t>
                  </w:r>
                </w:p>
              </w:tc>
              <w:tc>
                <w:tcPr>
                  <w:tcW w:w="468" w:type="pct"/>
                  <w:vMerge w:val="restart"/>
                  <w:tcBorders>
                    <w:top w:val="single" w:color="auto" w:sz="4" w:space="0"/>
                    <w:left w:val="single" w:color="auto" w:sz="4" w:space="0"/>
                    <w:right w:val="single" w:color="auto" w:sz="4" w:space="0"/>
                  </w:tcBorders>
                  <w:vAlign w:val="center"/>
                </w:tcPr>
                <w:p>
                  <w:pPr>
                    <w:pStyle w:val="57"/>
                    <w:rPr>
                      <w:kern w:val="0"/>
                      <w:sz w:val="24"/>
                    </w:rPr>
                  </w:pPr>
                  <w:r>
                    <w:rPr>
                      <w:kern w:val="0"/>
                    </w:rPr>
                    <w:t>所有规模</w:t>
                  </w:r>
                </w:p>
              </w:tc>
              <w:tc>
                <w:tcPr>
                  <w:tcW w:w="1157" w:type="pct"/>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kern w:val="0"/>
                    </w:rPr>
                    <w:t>工业废气量</w:t>
                  </w:r>
                </w:p>
              </w:tc>
              <w:tc>
                <w:tcPr>
                  <w:tcW w:w="860" w:type="pct"/>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kern w:val="0"/>
                    </w:rPr>
                    <w:t>N</w:t>
                  </w:r>
                  <w:r>
                    <w:rPr>
                      <w:rFonts w:hint="eastAsia"/>
                      <w:kern w:val="0"/>
                    </w:rPr>
                    <w:t>m</w:t>
                  </w:r>
                  <w:r>
                    <w:rPr>
                      <w:rFonts w:hint="eastAsia"/>
                      <w:kern w:val="0"/>
                      <w:vertAlign w:val="superscript"/>
                    </w:rPr>
                    <w:t>3</w:t>
                  </w:r>
                  <w:r>
                    <w:rPr>
                      <w:kern w:val="0"/>
                    </w:rPr>
                    <w:t>/t原料</w:t>
                  </w:r>
                </w:p>
              </w:tc>
              <w:tc>
                <w:tcPr>
                  <w:tcW w:w="751" w:type="pct"/>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kern w:val="0"/>
                    </w:rPr>
                    <w:t>6240</w:t>
                  </w:r>
                </w:p>
              </w:tc>
              <w:tc>
                <w:tcPr>
                  <w:tcW w:w="720" w:type="pct"/>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kern w:val="0"/>
                    </w:rPr>
                    <w:t>/</w:t>
                  </w:r>
                </w:p>
              </w:tc>
              <w:tc>
                <w:tcPr>
                  <w:tcW w:w="559" w:type="pct"/>
                  <w:tcBorders>
                    <w:top w:val="single" w:color="auto" w:sz="4" w:space="0"/>
                    <w:left w:val="single" w:color="auto" w:sz="4" w:space="0"/>
                    <w:bottom w:val="single" w:color="auto" w:sz="4" w:space="0"/>
                    <w:right w:val="nil"/>
                  </w:tcBorders>
                  <w:vAlign w:val="center"/>
                </w:tcPr>
                <w:p>
                  <w:pPr>
                    <w:pStyle w:val="57"/>
                    <w:rPr>
                      <w:kern w:val="0"/>
                      <w:sz w:val="24"/>
                    </w:rPr>
                  </w:pPr>
                  <w:r>
                    <w:rPr>
                      <w:kern w:val="0"/>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82" w:type="pct"/>
                  <w:vMerge w:val="continue"/>
                  <w:tcBorders>
                    <w:left w:val="nil"/>
                    <w:right w:val="single" w:color="auto" w:sz="4" w:space="0"/>
                  </w:tcBorders>
                  <w:vAlign w:val="center"/>
                </w:tcPr>
                <w:p>
                  <w:pPr>
                    <w:pStyle w:val="57"/>
                    <w:rPr>
                      <w:kern w:val="0"/>
                      <w:sz w:val="24"/>
                    </w:rPr>
                  </w:pPr>
                </w:p>
              </w:tc>
              <w:tc>
                <w:tcPr>
                  <w:tcW w:w="468" w:type="pct"/>
                  <w:vMerge w:val="continue"/>
                  <w:tcBorders>
                    <w:left w:val="single" w:color="auto" w:sz="4" w:space="0"/>
                    <w:right w:val="single" w:color="auto" w:sz="4" w:space="0"/>
                  </w:tcBorders>
                  <w:vAlign w:val="center"/>
                </w:tcPr>
                <w:p>
                  <w:pPr>
                    <w:pStyle w:val="57"/>
                    <w:rPr>
                      <w:kern w:val="0"/>
                      <w:sz w:val="24"/>
                    </w:rPr>
                  </w:pPr>
                </w:p>
              </w:tc>
              <w:tc>
                <w:tcPr>
                  <w:tcW w:w="1157" w:type="pct"/>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kern w:val="0"/>
                    </w:rPr>
                    <w:t>二氧化硫</w:t>
                  </w:r>
                </w:p>
              </w:tc>
              <w:tc>
                <w:tcPr>
                  <w:tcW w:w="860" w:type="pct"/>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kern w:val="0"/>
                    </w:rPr>
                    <w:t>kg/t原料</w:t>
                  </w:r>
                </w:p>
              </w:tc>
              <w:tc>
                <w:tcPr>
                  <w:tcW w:w="751" w:type="pct"/>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kern w:val="0"/>
                    </w:rPr>
                    <w:t>17S</w:t>
                  </w:r>
                </w:p>
              </w:tc>
              <w:tc>
                <w:tcPr>
                  <w:tcW w:w="720" w:type="pct"/>
                  <w:vAlign w:val="center"/>
                </w:tcPr>
                <w:p>
                  <w:pPr>
                    <w:pStyle w:val="57"/>
                    <w:rPr>
                      <w:kern w:val="0"/>
                      <w:sz w:val="24"/>
                    </w:rPr>
                  </w:pPr>
                  <w:r>
                    <w:rPr>
                      <w:kern w:val="0"/>
                    </w:rPr>
                    <w:t>/</w:t>
                  </w:r>
                </w:p>
              </w:tc>
              <w:tc>
                <w:tcPr>
                  <w:tcW w:w="559" w:type="pct"/>
                  <w:tcBorders>
                    <w:right w:val="nil"/>
                  </w:tcBorders>
                  <w:vAlign w:val="center"/>
                </w:tcPr>
                <w:p>
                  <w:pPr>
                    <w:pStyle w:val="57"/>
                    <w:rPr>
                      <w:kern w:val="0"/>
                      <w:sz w:val="24"/>
                    </w:rPr>
                  </w:pPr>
                  <w:r>
                    <w:rPr>
                      <w:kern w:val="0"/>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82" w:type="pct"/>
                  <w:vMerge w:val="continue"/>
                  <w:tcBorders>
                    <w:left w:val="nil"/>
                    <w:right w:val="single" w:color="auto" w:sz="4" w:space="0"/>
                  </w:tcBorders>
                  <w:vAlign w:val="center"/>
                </w:tcPr>
                <w:p>
                  <w:pPr>
                    <w:pStyle w:val="57"/>
                    <w:rPr>
                      <w:kern w:val="0"/>
                      <w:sz w:val="24"/>
                    </w:rPr>
                  </w:pPr>
                </w:p>
              </w:tc>
              <w:tc>
                <w:tcPr>
                  <w:tcW w:w="468" w:type="pct"/>
                  <w:vMerge w:val="continue"/>
                  <w:tcBorders>
                    <w:left w:val="single" w:color="auto" w:sz="4" w:space="0"/>
                    <w:right w:val="single" w:color="auto" w:sz="4" w:space="0"/>
                  </w:tcBorders>
                  <w:vAlign w:val="center"/>
                </w:tcPr>
                <w:p>
                  <w:pPr>
                    <w:pStyle w:val="57"/>
                    <w:rPr>
                      <w:kern w:val="0"/>
                      <w:sz w:val="24"/>
                    </w:rPr>
                  </w:pPr>
                </w:p>
              </w:tc>
              <w:tc>
                <w:tcPr>
                  <w:tcW w:w="1157" w:type="pct"/>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kern w:val="0"/>
                    </w:rPr>
                    <w:t>烟尘（压块）</w:t>
                  </w:r>
                </w:p>
              </w:tc>
              <w:tc>
                <w:tcPr>
                  <w:tcW w:w="860" w:type="pct"/>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kern w:val="0"/>
                    </w:rPr>
                    <w:t>kg/t原料</w:t>
                  </w:r>
                </w:p>
              </w:tc>
              <w:tc>
                <w:tcPr>
                  <w:tcW w:w="751" w:type="pct"/>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kern w:val="0"/>
                    </w:rPr>
                    <w:t>0.5</w:t>
                  </w:r>
                </w:p>
              </w:tc>
              <w:tc>
                <w:tcPr>
                  <w:tcW w:w="720" w:type="pct"/>
                  <w:vAlign w:val="center"/>
                </w:tcPr>
                <w:p>
                  <w:pPr>
                    <w:pStyle w:val="57"/>
                    <w:rPr>
                      <w:kern w:val="0"/>
                      <w:sz w:val="24"/>
                    </w:rPr>
                  </w:pPr>
                  <w:r>
                    <w:rPr>
                      <w:kern w:val="0"/>
                    </w:rPr>
                    <w:t>袋式除尘</w:t>
                  </w:r>
                </w:p>
              </w:tc>
              <w:tc>
                <w:tcPr>
                  <w:tcW w:w="559" w:type="pct"/>
                  <w:tcBorders>
                    <w:right w:val="nil"/>
                  </w:tcBorders>
                  <w:vAlign w:val="center"/>
                </w:tcPr>
                <w:p>
                  <w:pPr>
                    <w:pStyle w:val="57"/>
                    <w:rPr>
                      <w:kern w:val="0"/>
                      <w:sz w:val="24"/>
                    </w:rPr>
                  </w:pPr>
                  <w:r>
                    <w:rPr>
                      <w:rFonts w:hint="eastAsia"/>
                      <w:kern w:val="0"/>
                      <w:sz w:val="24"/>
                    </w:rPr>
                    <w:t>99.7%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82" w:type="pct"/>
                  <w:vMerge w:val="continue"/>
                  <w:tcBorders>
                    <w:left w:val="nil"/>
                    <w:bottom w:val="single" w:color="auto" w:sz="12" w:space="0"/>
                    <w:right w:val="single" w:color="auto" w:sz="4" w:space="0"/>
                  </w:tcBorders>
                  <w:vAlign w:val="center"/>
                </w:tcPr>
                <w:p>
                  <w:pPr>
                    <w:pStyle w:val="57"/>
                    <w:rPr>
                      <w:kern w:val="0"/>
                      <w:sz w:val="24"/>
                    </w:rPr>
                  </w:pPr>
                </w:p>
              </w:tc>
              <w:tc>
                <w:tcPr>
                  <w:tcW w:w="468" w:type="pct"/>
                  <w:vMerge w:val="continue"/>
                  <w:tcBorders>
                    <w:left w:val="single" w:color="auto" w:sz="4" w:space="0"/>
                    <w:bottom w:val="single" w:color="auto" w:sz="12" w:space="0"/>
                    <w:right w:val="single" w:color="auto" w:sz="4" w:space="0"/>
                  </w:tcBorders>
                  <w:vAlign w:val="center"/>
                </w:tcPr>
                <w:p>
                  <w:pPr>
                    <w:pStyle w:val="57"/>
                    <w:rPr>
                      <w:kern w:val="0"/>
                      <w:sz w:val="24"/>
                    </w:rPr>
                  </w:pPr>
                </w:p>
              </w:tc>
              <w:tc>
                <w:tcPr>
                  <w:tcW w:w="1157" w:type="pct"/>
                  <w:tcBorders>
                    <w:top w:val="single" w:color="auto" w:sz="4" w:space="0"/>
                    <w:left w:val="single" w:color="auto" w:sz="4" w:space="0"/>
                    <w:bottom w:val="single" w:color="auto" w:sz="12" w:space="0"/>
                    <w:right w:val="single" w:color="auto" w:sz="4" w:space="0"/>
                  </w:tcBorders>
                  <w:vAlign w:val="center"/>
                </w:tcPr>
                <w:p>
                  <w:pPr>
                    <w:pStyle w:val="57"/>
                    <w:rPr>
                      <w:kern w:val="0"/>
                      <w:sz w:val="24"/>
                    </w:rPr>
                  </w:pPr>
                  <w:r>
                    <w:rPr>
                      <w:kern w:val="0"/>
                    </w:rPr>
                    <w:t>氮氧化物</w:t>
                  </w:r>
                </w:p>
              </w:tc>
              <w:tc>
                <w:tcPr>
                  <w:tcW w:w="860" w:type="pct"/>
                  <w:tcBorders>
                    <w:top w:val="single" w:color="auto" w:sz="4" w:space="0"/>
                    <w:left w:val="single" w:color="auto" w:sz="4" w:space="0"/>
                    <w:bottom w:val="single" w:color="auto" w:sz="12" w:space="0"/>
                    <w:right w:val="single" w:color="auto" w:sz="4" w:space="0"/>
                  </w:tcBorders>
                  <w:vAlign w:val="center"/>
                </w:tcPr>
                <w:p>
                  <w:pPr>
                    <w:pStyle w:val="57"/>
                    <w:rPr>
                      <w:kern w:val="0"/>
                      <w:sz w:val="24"/>
                    </w:rPr>
                  </w:pPr>
                  <w:r>
                    <w:rPr>
                      <w:kern w:val="0"/>
                    </w:rPr>
                    <w:t>kg/t原料</w:t>
                  </w:r>
                </w:p>
              </w:tc>
              <w:tc>
                <w:tcPr>
                  <w:tcW w:w="751" w:type="pct"/>
                  <w:tcBorders>
                    <w:top w:val="single" w:color="auto" w:sz="4" w:space="0"/>
                    <w:left w:val="single" w:color="auto" w:sz="4" w:space="0"/>
                    <w:bottom w:val="single" w:color="auto" w:sz="12" w:space="0"/>
                    <w:right w:val="single" w:color="auto" w:sz="4" w:space="0"/>
                  </w:tcBorders>
                  <w:vAlign w:val="center"/>
                </w:tcPr>
                <w:p>
                  <w:pPr>
                    <w:pStyle w:val="57"/>
                    <w:rPr>
                      <w:kern w:val="0"/>
                      <w:sz w:val="24"/>
                    </w:rPr>
                  </w:pPr>
                  <w:r>
                    <w:rPr>
                      <w:kern w:val="0"/>
                    </w:rPr>
                    <w:t>1.02</w:t>
                  </w:r>
                </w:p>
              </w:tc>
              <w:tc>
                <w:tcPr>
                  <w:tcW w:w="720" w:type="pct"/>
                  <w:tcBorders>
                    <w:bottom w:val="single" w:color="auto" w:sz="12" w:space="0"/>
                  </w:tcBorders>
                  <w:vAlign w:val="center"/>
                </w:tcPr>
                <w:p>
                  <w:pPr>
                    <w:pStyle w:val="57"/>
                    <w:rPr>
                      <w:kern w:val="0"/>
                      <w:sz w:val="24"/>
                    </w:rPr>
                  </w:pPr>
                  <w:r>
                    <w:rPr>
                      <w:kern w:val="0"/>
                    </w:rPr>
                    <w:t>/</w:t>
                  </w:r>
                </w:p>
              </w:tc>
              <w:tc>
                <w:tcPr>
                  <w:tcW w:w="559" w:type="pct"/>
                  <w:tcBorders>
                    <w:bottom w:val="single" w:color="auto" w:sz="12" w:space="0"/>
                    <w:right w:val="nil"/>
                  </w:tcBorders>
                  <w:vAlign w:val="center"/>
                </w:tcPr>
                <w:p>
                  <w:pPr>
                    <w:pStyle w:val="57"/>
                    <w:rPr>
                      <w:kern w:val="0"/>
                      <w:sz w:val="24"/>
                    </w:rPr>
                  </w:pPr>
                  <w:r>
                    <w:rPr>
                      <w:kern w:val="0"/>
                    </w:rPr>
                    <w:t>/</w:t>
                  </w:r>
                </w:p>
              </w:tc>
            </w:tr>
          </w:tbl>
          <w:p>
            <w:pPr>
              <w:pStyle w:val="36"/>
              <w:spacing w:before="96" w:after="24"/>
              <w:rPr>
                <w:kern w:val="0"/>
                <w:sz w:val="24"/>
              </w:rPr>
            </w:pPr>
            <w:r>
              <w:rPr>
                <w:kern w:val="0"/>
              </w:rPr>
              <w:t>表</w:t>
            </w:r>
            <w:r>
              <w:rPr>
                <w:rFonts w:hint="eastAsia"/>
                <w:bCs/>
                <w:kern w:val="0"/>
                <w:szCs w:val="22"/>
              </w:rPr>
              <w:t xml:space="preserve">18    </w:t>
            </w:r>
            <w:r>
              <w:rPr>
                <w:kern w:val="0"/>
              </w:rPr>
              <w:t>生物质热风炉产排情况一览表</w:t>
            </w:r>
          </w:p>
          <w:tbl>
            <w:tblPr>
              <w:tblStyle w:val="18"/>
              <w:tblW w:w="4991"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62"/>
              <w:gridCol w:w="993"/>
              <w:gridCol w:w="925"/>
              <w:gridCol w:w="1030"/>
              <w:gridCol w:w="594"/>
              <w:gridCol w:w="759"/>
              <w:gridCol w:w="993"/>
              <w:gridCol w:w="925"/>
              <w:gridCol w:w="103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75" w:type="pct"/>
                  <w:vMerge w:val="restart"/>
                  <w:tcBorders>
                    <w:top w:val="single" w:color="auto" w:sz="12" w:space="0"/>
                    <w:left w:val="nil"/>
                    <w:right w:val="single" w:color="auto" w:sz="4" w:space="0"/>
                  </w:tcBorders>
                  <w:vAlign w:val="center"/>
                </w:tcPr>
                <w:p>
                  <w:pPr>
                    <w:pStyle w:val="57"/>
                    <w:rPr>
                      <w:kern w:val="0"/>
                    </w:rPr>
                  </w:pPr>
                  <w:r>
                    <w:rPr>
                      <w:kern w:val="0"/>
                    </w:rPr>
                    <w:t>污染物</w:t>
                  </w:r>
                </w:p>
              </w:tc>
              <w:tc>
                <w:tcPr>
                  <w:tcW w:w="1810" w:type="pct"/>
                  <w:gridSpan w:val="3"/>
                  <w:tcBorders>
                    <w:top w:val="single" w:color="auto" w:sz="12" w:space="0"/>
                    <w:left w:val="single" w:color="auto" w:sz="4" w:space="0"/>
                    <w:bottom w:val="single" w:color="auto" w:sz="4" w:space="0"/>
                    <w:right w:val="single" w:color="auto" w:sz="4" w:space="0"/>
                  </w:tcBorders>
                  <w:vAlign w:val="center"/>
                </w:tcPr>
                <w:p>
                  <w:pPr>
                    <w:pStyle w:val="57"/>
                    <w:rPr>
                      <w:kern w:val="0"/>
                    </w:rPr>
                  </w:pPr>
                  <w:r>
                    <w:rPr>
                      <w:kern w:val="0"/>
                    </w:rPr>
                    <w:t>产生</w:t>
                  </w:r>
                </w:p>
              </w:tc>
              <w:tc>
                <w:tcPr>
                  <w:tcW w:w="951" w:type="pct"/>
                  <w:gridSpan w:val="2"/>
                  <w:vMerge w:val="restart"/>
                  <w:tcBorders>
                    <w:top w:val="single" w:color="auto" w:sz="12" w:space="0"/>
                    <w:left w:val="single" w:color="auto" w:sz="4" w:space="0"/>
                    <w:right w:val="single" w:color="auto" w:sz="4" w:space="0"/>
                  </w:tcBorders>
                  <w:vAlign w:val="center"/>
                </w:tcPr>
                <w:p>
                  <w:pPr>
                    <w:pStyle w:val="57"/>
                    <w:rPr>
                      <w:kern w:val="0"/>
                    </w:rPr>
                  </w:pPr>
                  <w:r>
                    <w:rPr>
                      <w:kern w:val="0"/>
                    </w:rPr>
                    <w:t>治理措施及效率</w:t>
                  </w:r>
                </w:p>
              </w:tc>
              <w:tc>
                <w:tcPr>
                  <w:tcW w:w="1762" w:type="pct"/>
                  <w:gridSpan w:val="3"/>
                  <w:tcBorders>
                    <w:top w:val="single" w:color="auto" w:sz="12" w:space="0"/>
                    <w:left w:val="single" w:color="auto" w:sz="4" w:space="0"/>
                    <w:bottom w:val="single" w:color="auto" w:sz="4" w:space="0"/>
                    <w:right w:val="nil"/>
                  </w:tcBorders>
                  <w:vAlign w:val="center"/>
                </w:tcPr>
                <w:p>
                  <w:pPr>
                    <w:pStyle w:val="57"/>
                    <w:rPr>
                      <w:kern w:val="0"/>
                    </w:rPr>
                  </w:pPr>
                  <w:r>
                    <w:rPr>
                      <w:kern w:val="0"/>
                    </w:rPr>
                    <w:t>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75" w:type="pct"/>
                  <w:vMerge w:val="continue"/>
                  <w:tcBorders>
                    <w:left w:val="nil"/>
                    <w:bottom w:val="single" w:color="auto" w:sz="4" w:space="0"/>
                    <w:right w:val="single" w:color="auto" w:sz="4" w:space="0"/>
                  </w:tcBorders>
                  <w:vAlign w:val="center"/>
                </w:tcPr>
                <w:p>
                  <w:pPr>
                    <w:pStyle w:val="57"/>
                    <w:rPr>
                      <w:kern w:val="0"/>
                    </w:rPr>
                  </w:pPr>
                </w:p>
              </w:tc>
              <w:tc>
                <w:tcPr>
                  <w:tcW w:w="641" w:type="pct"/>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kern w:val="0"/>
                    </w:rPr>
                    <w:t>浓度</w:t>
                  </w:r>
                  <w:r>
                    <w:rPr>
                      <w:bCs/>
                      <w:kern w:val="0"/>
                      <w:szCs w:val="22"/>
                    </w:rPr>
                    <w:t>mg/m</w:t>
                  </w:r>
                  <w:r>
                    <w:rPr>
                      <w:rFonts w:hint="eastAsia"/>
                      <w:bCs/>
                      <w:kern w:val="0"/>
                      <w:szCs w:val="22"/>
                      <w:vertAlign w:val="superscript"/>
                    </w:rPr>
                    <w:t>3</w:t>
                  </w:r>
                </w:p>
              </w:tc>
              <w:tc>
                <w:tcPr>
                  <w:tcW w:w="552" w:type="pct"/>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kern w:val="0"/>
                    </w:rPr>
                    <w:t>速率</w:t>
                  </w:r>
                  <w:r>
                    <w:rPr>
                      <w:bCs/>
                      <w:kern w:val="0"/>
                      <w:szCs w:val="22"/>
                    </w:rPr>
                    <w:t>kg/h</w:t>
                  </w:r>
                </w:p>
              </w:tc>
              <w:tc>
                <w:tcPr>
                  <w:tcW w:w="615" w:type="pct"/>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kern w:val="0"/>
                    </w:rPr>
                    <w:t>产生量</w:t>
                  </w:r>
                  <w:r>
                    <w:rPr>
                      <w:bCs/>
                      <w:kern w:val="0"/>
                      <w:szCs w:val="22"/>
                    </w:rPr>
                    <w:t>t/a</w:t>
                  </w:r>
                </w:p>
              </w:tc>
              <w:tc>
                <w:tcPr>
                  <w:tcW w:w="951" w:type="pct"/>
                  <w:gridSpan w:val="2"/>
                  <w:vMerge w:val="continue"/>
                  <w:tcBorders>
                    <w:left w:val="single" w:color="auto" w:sz="4" w:space="0"/>
                    <w:bottom w:val="single" w:color="auto" w:sz="4" w:space="0"/>
                    <w:right w:val="single" w:color="auto" w:sz="4" w:space="0"/>
                  </w:tcBorders>
                  <w:vAlign w:val="center"/>
                </w:tcPr>
                <w:p>
                  <w:pPr>
                    <w:pStyle w:val="57"/>
                    <w:rPr>
                      <w:kern w:val="0"/>
                      <w:sz w:val="24"/>
                    </w:rPr>
                  </w:pPr>
                </w:p>
              </w:tc>
              <w:tc>
                <w:tcPr>
                  <w:tcW w:w="593" w:type="pct"/>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kern w:val="0"/>
                    </w:rPr>
                    <w:t>浓度</w:t>
                  </w:r>
                  <w:r>
                    <w:rPr>
                      <w:bCs/>
                      <w:kern w:val="0"/>
                      <w:szCs w:val="22"/>
                    </w:rPr>
                    <w:t>mg/</w:t>
                  </w:r>
                  <w:r>
                    <w:rPr>
                      <w:rFonts w:hint="eastAsia"/>
                      <w:bCs/>
                      <w:kern w:val="0"/>
                      <w:szCs w:val="22"/>
                    </w:rPr>
                    <w:t>m</w:t>
                  </w:r>
                  <w:r>
                    <w:rPr>
                      <w:rFonts w:hint="eastAsia"/>
                      <w:bCs/>
                      <w:kern w:val="0"/>
                      <w:szCs w:val="22"/>
                      <w:vertAlign w:val="superscript"/>
                    </w:rPr>
                    <w:t>3</w:t>
                  </w:r>
                </w:p>
              </w:tc>
              <w:tc>
                <w:tcPr>
                  <w:tcW w:w="552" w:type="pct"/>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kern w:val="0"/>
                    </w:rPr>
                    <w:t>速率</w:t>
                  </w:r>
                  <w:r>
                    <w:rPr>
                      <w:bCs/>
                      <w:kern w:val="0"/>
                      <w:szCs w:val="22"/>
                    </w:rPr>
                    <w:t>kg/h</w:t>
                  </w:r>
                </w:p>
              </w:tc>
              <w:tc>
                <w:tcPr>
                  <w:tcW w:w="615" w:type="pct"/>
                  <w:tcBorders>
                    <w:top w:val="single" w:color="auto" w:sz="4" w:space="0"/>
                    <w:left w:val="single" w:color="auto" w:sz="4" w:space="0"/>
                    <w:bottom w:val="single" w:color="auto" w:sz="4" w:space="0"/>
                    <w:right w:val="nil"/>
                  </w:tcBorders>
                  <w:vAlign w:val="center"/>
                </w:tcPr>
                <w:p>
                  <w:pPr>
                    <w:pStyle w:val="57"/>
                    <w:rPr>
                      <w:kern w:val="0"/>
                      <w:sz w:val="24"/>
                    </w:rPr>
                  </w:pPr>
                  <w:r>
                    <w:rPr>
                      <w:kern w:val="0"/>
                    </w:rPr>
                    <w:t>排放量</w:t>
                  </w:r>
                  <w:r>
                    <w:rPr>
                      <w:bCs/>
                      <w:kern w:val="0"/>
                      <w:szCs w:val="22"/>
                    </w:rPr>
                    <w:t>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75" w:type="pct"/>
                  <w:tcBorders>
                    <w:top w:val="single" w:color="auto" w:sz="4" w:space="0"/>
                    <w:left w:val="nil"/>
                    <w:bottom w:val="single" w:color="auto" w:sz="4" w:space="0"/>
                    <w:right w:val="single" w:color="auto" w:sz="4" w:space="0"/>
                  </w:tcBorders>
                  <w:vAlign w:val="center"/>
                </w:tcPr>
                <w:p>
                  <w:pPr>
                    <w:pStyle w:val="57"/>
                    <w:rPr>
                      <w:kern w:val="0"/>
                      <w:sz w:val="24"/>
                    </w:rPr>
                  </w:pPr>
                  <w:r>
                    <w:rPr>
                      <w:kern w:val="0"/>
                    </w:rPr>
                    <w:t>烟气量</w:t>
                  </w:r>
                </w:p>
              </w:tc>
              <w:tc>
                <w:tcPr>
                  <w:tcW w:w="1810" w:type="pct"/>
                  <w:gridSpan w:val="3"/>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rFonts w:hint="eastAsia"/>
                      <w:kern w:val="0"/>
                    </w:rPr>
                    <w:t>8486400</w:t>
                  </w:r>
                  <w:r>
                    <w:rPr>
                      <w:kern w:val="0"/>
                    </w:rPr>
                    <w:t>m</w:t>
                  </w:r>
                  <w:r>
                    <w:rPr>
                      <w:rFonts w:hint="eastAsia"/>
                      <w:bCs/>
                      <w:kern w:val="0"/>
                      <w:szCs w:val="22"/>
                      <w:vertAlign w:val="superscript"/>
                    </w:rPr>
                    <w:t>3</w:t>
                  </w:r>
                  <w:r>
                    <w:rPr>
                      <w:bCs/>
                      <w:kern w:val="0"/>
                      <w:szCs w:val="22"/>
                    </w:rPr>
                    <w:t>/a</w:t>
                  </w:r>
                </w:p>
              </w:tc>
              <w:tc>
                <w:tcPr>
                  <w:tcW w:w="951" w:type="pct"/>
                  <w:gridSpan w:val="2"/>
                  <w:tcBorders>
                    <w:top w:val="single" w:color="auto" w:sz="4" w:space="0"/>
                    <w:left w:val="single" w:color="auto" w:sz="4" w:space="0"/>
                    <w:bottom w:val="single" w:color="auto" w:sz="4" w:space="0"/>
                    <w:right w:val="single" w:color="auto" w:sz="4" w:space="0"/>
                  </w:tcBorders>
                  <w:vAlign w:val="center"/>
                </w:tcPr>
                <w:p>
                  <w:pPr>
                    <w:pStyle w:val="57"/>
                    <w:rPr>
                      <w:kern w:val="0"/>
                    </w:rPr>
                  </w:pPr>
                  <w:r>
                    <w:rPr>
                      <w:kern w:val="0"/>
                    </w:rPr>
                    <w:t>/</w:t>
                  </w:r>
                </w:p>
              </w:tc>
              <w:tc>
                <w:tcPr>
                  <w:tcW w:w="1762" w:type="pct"/>
                  <w:gridSpan w:val="3"/>
                  <w:tcBorders>
                    <w:top w:val="single" w:color="auto" w:sz="4" w:space="0"/>
                    <w:left w:val="single" w:color="auto" w:sz="4" w:space="0"/>
                    <w:bottom w:val="single" w:color="auto" w:sz="4" w:space="0"/>
                    <w:right w:val="nil"/>
                  </w:tcBorders>
                  <w:vAlign w:val="center"/>
                </w:tcPr>
                <w:p>
                  <w:pPr>
                    <w:pStyle w:val="57"/>
                    <w:rPr>
                      <w:kern w:val="0"/>
                    </w:rPr>
                  </w:pPr>
                  <w:r>
                    <w:rPr>
                      <w:kern w:val="0"/>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75" w:type="pct"/>
                  <w:tcBorders>
                    <w:top w:val="single" w:color="auto" w:sz="4" w:space="0"/>
                    <w:left w:val="nil"/>
                    <w:bottom w:val="single" w:color="auto" w:sz="4" w:space="0"/>
                    <w:right w:val="single" w:color="auto" w:sz="4" w:space="0"/>
                  </w:tcBorders>
                  <w:vAlign w:val="center"/>
                </w:tcPr>
                <w:p>
                  <w:pPr>
                    <w:pStyle w:val="57"/>
                    <w:rPr>
                      <w:kern w:val="0"/>
                      <w:sz w:val="24"/>
                    </w:rPr>
                  </w:pPr>
                  <w:r>
                    <w:rPr>
                      <w:kern w:val="0"/>
                    </w:rPr>
                    <w:t>烟尘</w:t>
                  </w:r>
                </w:p>
              </w:tc>
              <w:tc>
                <w:tcPr>
                  <w:tcW w:w="641" w:type="pct"/>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kern w:val="0"/>
                    </w:rPr>
                    <w:t>80.13</w:t>
                  </w:r>
                </w:p>
              </w:tc>
              <w:tc>
                <w:tcPr>
                  <w:tcW w:w="552" w:type="pct"/>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kern w:val="0"/>
                    </w:rPr>
                    <w:t>0.</w:t>
                  </w:r>
                  <w:r>
                    <w:rPr>
                      <w:rFonts w:hint="eastAsia"/>
                      <w:kern w:val="0"/>
                    </w:rPr>
                    <w:t>354</w:t>
                  </w:r>
                </w:p>
              </w:tc>
              <w:tc>
                <w:tcPr>
                  <w:tcW w:w="615" w:type="pct"/>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rFonts w:hint="eastAsia"/>
                      <w:kern w:val="0"/>
                    </w:rPr>
                    <w:t>0.68</w:t>
                  </w:r>
                </w:p>
              </w:tc>
              <w:tc>
                <w:tcPr>
                  <w:tcW w:w="476" w:type="pct"/>
                  <w:vMerge w:val="restart"/>
                  <w:tcBorders>
                    <w:top w:val="single" w:color="auto" w:sz="4" w:space="0"/>
                    <w:left w:val="single" w:color="auto" w:sz="4" w:space="0"/>
                    <w:right w:val="single" w:color="auto" w:sz="4" w:space="0"/>
                  </w:tcBorders>
                  <w:vAlign w:val="center"/>
                </w:tcPr>
                <w:p>
                  <w:pPr>
                    <w:pStyle w:val="57"/>
                    <w:rPr>
                      <w:kern w:val="0"/>
                      <w:sz w:val="24"/>
                    </w:rPr>
                  </w:pPr>
                  <w:r>
                    <w:rPr>
                      <w:kern w:val="0"/>
                    </w:rPr>
                    <w:t>布袋除尘器</w:t>
                  </w:r>
                </w:p>
              </w:tc>
              <w:tc>
                <w:tcPr>
                  <w:tcW w:w="475" w:type="pct"/>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kern w:val="0"/>
                    </w:rPr>
                    <w:t>99.7%</w:t>
                  </w:r>
                </w:p>
              </w:tc>
              <w:tc>
                <w:tcPr>
                  <w:tcW w:w="593" w:type="pct"/>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kern w:val="0"/>
                    </w:rPr>
                    <w:t>0.240</w:t>
                  </w:r>
                </w:p>
              </w:tc>
              <w:tc>
                <w:tcPr>
                  <w:tcW w:w="552" w:type="pct"/>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kern w:val="0"/>
                    </w:rPr>
                    <w:t>0.00</w:t>
                  </w:r>
                  <w:r>
                    <w:rPr>
                      <w:rFonts w:hint="eastAsia"/>
                      <w:kern w:val="0"/>
                    </w:rPr>
                    <w:t>11</w:t>
                  </w:r>
                </w:p>
              </w:tc>
              <w:tc>
                <w:tcPr>
                  <w:tcW w:w="615" w:type="pct"/>
                  <w:tcBorders>
                    <w:top w:val="single" w:color="auto" w:sz="4" w:space="0"/>
                    <w:left w:val="single" w:color="auto" w:sz="4" w:space="0"/>
                    <w:bottom w:val="single" w:color="auto" w:sz="4" w:space="0"/>
                    <w:right w:val="nil"/>
                  </w:tcBorders>
                  <w:vAlign w:val="center"/>
                </w:tcPr>
                <w:p>
                  <w:pPr>
                    <w:pStyle w:val="57"/>
                    <w:rPr>
                      <w:kern w:val="0"/>
                      <w:sz w:val="24"/>
                    </w:rPr>
                  </w:pPr>
                  <w:r>
                    <w:rPr>
                      <w:kern w:val="0"/>
                    </w:rPr>
                    <w:t>0.00</w:t>
                  </w:r>
                  <w:r>
                    <w:rPr>
                      <w:rFonts w:hint="eastAsia"/>
                      <w:kern w:val="0"/>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75" w:type="pct"/>
                  <w:tcBorders>
                    <w:top w:val="single" w:color="auto" w:sz="4" w:space="0"/>
                    <w:left w:val="nil"/>
                    <w:bottom w:val="single" w:color="auto" w:sz="4" w:space="0"/>
                    <w:right w:val="single" w:color="auto" w:sz="4" w:space="0"/>
                  </w:tcBorders>
                  <w:vAlign w:val="center"/>
                </w:tcPr>
                <w:p>
                  <w:pPr>
                    <w:pStyle w:val="57"/>
                    <w:rPr>
                      <w:kern w:val="0"/>
                      <w:sz w:val="24"/>
                    </w:rPr>
                  </w:pPr>
                  <w:r>
                    <w:rPr>
                      <w:kern w:val="0"/>
                    </w:rPr>
                    <w:t>二氧化硫</w:t>
                  </w:r>
                </w:p>
              </w:tc>
              <w:tc>
                <w:tcPr>
                  <w:tcW w:w="641" w:type="pct"/>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rFonts w:hint="eastAsia"/>
                      <w:kern w:val="0"/>
                    </w:rPr>
                    <w:t>7.993</w:t>
                  </w:r>
                </w:p>
              </w:tc>
              <w:tc>
                <w:tcPr>
                  <w:tcW w:w="552" w:type="pct"/>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rFonts w:hint="eastAsia"/>
                      <w:kern w:val="0"/>
                    </w:rPr>
                    <w:t>0.035</w:t>
                  </w:r>
                </w:p>
              </w:tc>
              <w:tc>
                <w:tcPr>
                  <w:tcW w:w="615" w:type="pct"/>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rFonts w:hint="eastAsia"/>
                      <w:kern w:val="0"/>
                    </w:rPr>
                    <w:t>0.068</w:t>
                  </w:r>
                </w:p>
              </w:tc>
              <w:tc>
                <w:tcPr>
                  <w:tcW w:w="476" w:type="pct"/>
                  <w:vMerge w:val="continue"/>
                  <w:tcBorders>
                    <w:left w:val="single" w:color="auto" w:sz="4" w:space="0"/>
                    <w:right w:val="single" w:color="auto" w:sz="4" w:space="0"/>
                  </w:tcBorders>
                  <w:vAlign w:val="center"/>
                </w:tcPr>
                <w:p>
                  <w:pPr>
                    <w:pStyle w:val="57"/>
                    <w:rPr>
                      <w:kern w:val="0"/>
                      <w:sz w:val="24"/>
                    </w:rPr>
                  </w:pPr>
                </w:p>
              </w:tc>
              <w:tc>
                <w:tcPr>
                  <w:tcW w:w="475" w:type="pct"/>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kern w:val="0"/>
                    </w:rPr>
                    <w:t>/</w:t>
                  </w:r>
                </w:p>
              </w:tc>
              <w:tc>
                <w:tcPr>
                  <w:tcW w:w="593" w:type="pct"/>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rFonts w:hint="eastAsia"/>
                      <w:kern w:val="0"/>
                    </w:rPr>
                    <w:t>7.993</w:t>
                  </w:r>
                </w:p>
              </w:tc>
              <w:tc>
                <w:tcPr>
                  <w:tcW w:w="552" w:type="pct"/>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rFonts w:hint="eastAsia"/>
                      <w:kern w:val="0"/>
                    </w:rPr>
                    <w:t>0.035</w:t>
                  </w:r>
                </w:p>
              </w:tc>
              <w:tc>
                <w:tcPr>
                  <w:tcW w:w="615" w:type="pct"/>
                  <w:tcBorders>
                    <w:right w:val="nil"/>
                  </w:tcBorders>
                  <w:vAlign w:val="center"/>
                </w:tcPr>
                <w:p>
                  <w:pPr>
                    <w:pStyle w:val="57"/>
                    <w:rPr>
                      <w:kern w:val="0"/>
                      <w:sz w:val="24"/>
                    </w:rPr>
                  </w:pPr>
                  <w:r>
                    <w:rPr>
                      <w:rFonts w:hint="eastAsia"/>
                      <w:kern w:val="0"/>
                    </w:rPr>
                    <w:t>0.068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75" w:type="pct"/>
                  <w:tcBorders>
                    <w:top w:val="single" w:color="auto" w:sz="4" w:space="0"/>
                    <w:left w:val="nil"/>
                    <w:bottom w:val="single" w:color="auto" w:sz="4" w:space="0"/>
                    <w:right w:val="single" w:color="auto" w:sz="4" w:space="0"/>
                  </w:tcBorders>
                  <w:vAlign w:val="center"/>
                </w:tcPr>
                <w:p>
                  <w:pPr>
                    <w:pStyle w:val="57"/>
                    <w:rPr>
                      <w:kern w:val="0"/>
                      <w:sz w:val="24"/>
                    </w:rPr>
                  </w:pPr>
                  <w:r>
                    <w:rPr>
                      <w:kern w:val="0"/>
                    </w:rPr>
                    <w:t>氮氧化物</w:t>
                  </w:r>
                </w:p>
              </w:tc>
              <w:tc>
                <w:tcPr>
                  <w:tcW w:w="641" w:type="pct"/>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kern w:val="0"/>
                    </w:rPr>
                    <w:t>163.4</w:t>
                  </w:r>
                  <w:r>
                    <w:rPr>
                      <w:rFonts w:hint="eastAsia"/>
                      <w:kern w:val="0"/>
                    </w:rPr>
                    <w:t>4</w:t>
                  </w:r>
                </w:p>
              </w:tc>
              <w:tc>
                <w:tcPr>
                  <w:tcW w:w="552" w:type="pct"/>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rFonts w:hint="eastAsia"/>
                      <w:kern w:val="0"/>
                    </w:rPr>
                    <w:t>0.723</w:t>
                  </w:r>
                </w:p>
              </w:tc>
              <w:tc>
                <w:tcPr>
                  <w:tcW w:w="615" w:type="pct"/>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rFonts w:hint="eastAsia"/>
                      <w:kern w:val="0"/>
                    </w:rPr>
                    <w:t>1.387</w:t>
                  </w:r>
                </w:p>
              </w:tc>
              <w:tc>
                <w:tcPr>
                  <w:tcW w:w="476" w:type="pct"/>
                  <w:vMerge w:val="continue"/>
                  <w:tcBorders>
                    <w:left w:val="single" w:color="auto" w:sz="4" w:space="0"/>
                    <w:right w:val="single" w:color="auto" w:sz="4" w:space="0"/>
                  </w:tcBorders>
                  <w:vAlign w:val="center"/>
                </w:tcPr>
                <w:p>
                  <w:pPr>
                    <w:pStyle w:val="57"/>
                    <w:rPr>
                      <w:kern w:val="0"/>
                      <w:sz w:val="24"/>
                    </w:rPr>
                  </w:pPr>
                </w:p>
              </w:tc>
              <w:tc>
                <w:tcPr>
                  <w:tcW w:w="475" w:type="pct"/>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kern w:val="0"/>
                    </w:rPr>
                    <w:t>/</w:t>
                  </w:r>
                </w:p>
              </w:tc>
              <w:tc>
                <w:tcPr>
                  <w:tcW w:w="593" w:type="pct"/>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kern w:val="0"/>
                    </w:rPr>
                    <w:t>163.</w:t>
                  </w:r>
                  <w:r>
                    <w:rPr>
                      <w:rFonts w:hint="eastAsia"/>
                      <w:kern w:val="0"/>
                    </w:rPr>
                    <w:t>44</w:t>
                  </w:r>
                </w:p>
              </w:tc>
              <w:tc>
                <w:tcPr>
                  <w:tcW w:w="552" w:type="pct"/>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rFonts w:hint="eastAsia"/>
                      <w:kern w:val="0"/>
                    </w:rPr>
                    <w:t>0.723</w:t>
                  </w:r>
                </w:p>
              </w:tc>
              <w:tc>
                <w:tcPr>
                  <w:tcW w:w="615" w:type="pct"/>
                  <w:tcBorders>
                    <w:right w:val="nil"/>
                  </w:tcBorders>
                  <w:vAlign w:val="center"/>
                </w:tcPr>
                <w:p>
                  <w:pPr>
                    <w:pStyle w:val="57"/>
                    <w:rPr>
                      <w:kern w:val="0"/>
                      <w:sz w:val="24"/>
                    </w:rPr>
                  </w:pPr>
                  <w:r>
                    <w:rPr>
                      <w:rFonts w:hint="eastAsia"/>
                      <w:kern w:val="0"/>
                    </w:rPr>
                    <w:t>1.387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75" w:type="pct"/>
                  <w:tcBorders>
                    <w:top w:val="single" w:color="auto" w:sz="4" w:space="0"/>
                    <w:left w:val="nil"/>
                    <w:bottom w:val="single" w:color="auto" w:sz="4" w:space="0"/>
                    <w:right w:val="single" w:color="auto" w:sz="4" w:space="0"/>
                  </w:tcBorders>
                  <w:vAlign w:val="center"/>
                </w:tcPr>
                <w:p>
                  <w:pPr>
                    <w:pStyle w:val="57"/>
                    <w:rPr>
                      <w:rFonts w:hint="eastAsia" w:eastAsia="宋体"/>
                      <w:color w:val="auto"/>
                      <w:kern w:val="0"/>
                      <w:lang w:eastAsia="zh-CN"/>
                    </w:rPr>
                  </w:pPr>
                  <w:r>
                    <w:rPr>
                      <w:rFonts w:hint="eastAsia"/>
                      <w:color w:val="auto"/>
                      <w:kern w:val="0"/>
                      <w:lang w:eastAsia="zh-CN"/>
                    </w:rPr>
                    <w:t>汞及其化合物</w:t>
                  </w:r>
                </w:p>
              </w:tc>
              <w:tc>
                <w:tcPr>
                  <w:tcW w:w="641" w:type="pct"/>
                  <w:tcBorders>
                    <w:top w:val="single" w:color="auto" w:sz="4" w:space="0"/>
                    <w:left w:val="single" w:color="auto" w:sz="4" w:space="0"/>
                    <w:bottom w:val="single" w:color="auto" w:sz="4" w:space="0"/>
                    <w:right w:val="single" w:color="auto" w:sz="4" w:space="0"/>
                  </w:tcBorders>
                  <w:vAlign w:val="center"/>
                </w:tcPr>
                <w:p>
                  <w:pPr>
                    <w:pStyle w:val="57"/>
                    <w:rPr>
                      <w:rFonts w:hint="default" w:ascii="Times New Roman" w:hAnsi="Times New Roman" w:eastAsia="宋体" w:cs="Times New Roman"/>
                      <w:color w:val="auto"/>
                      <w:kern w:val="0"/>
                      <w:sz w:val="21"/>
                      <w:szCs w:val="24"/>
                      <w:lang w:val="en-US" w:eastAsia="zh-CN" w:bidi="ar-SA"/>
                    </w:rPr>
                  </w:pPr>
                  <w:r>
                    <w:rPr>
                      <w:rFonts w:hint="eastAsia"/>
                      <w:color w:val="auto"/>
                      <w:kern w:val="0"/>
                      <w:lang w:val="en-US" w:eastAsia="zh-CN"/>
                    </w:rPr>
                    <w:t>3.2</w:t>
                  </w:r>
                  <w:r>
                    <w:rPr>
                      <w:rFonts w:hint="default" w:ascii="Arial" w:hAnsi="Arial" w:cs="Arial"/>
                      <w:color w:val="auto"/>
                      <w:kern w:val="0"/>
                      <w:lang w:val="en-US" w:eastAsia="zh-CN"/>
                    </w:rPr>
                    <w:t>×</w:t>
                  </w:r>
                  <w:r>
                    <w:rPr>
                      <w:rFonts w:hint="eastAsia" w:cs="Times New Roman"/>
                      <w:color w:val="auto"/>
                      <w:kern w:val="0"/>
                      <w:lang w:val="en-US" w:eastAsia="zh-CN"/>
                    </w:rPr>
                    <w:t>10</w:t>
                  </w:r>
                  <w:r>
                    <w:rPr>
                      <w:rFonts w:hint="eastAsia" w:cs="Times New Roman"/>
                      <w:color w:val="auto"/>
                      <w:kern w:val="0"/>
                      <w:vertAlign w:val="superscript"/>
                      <w:lang w:val="en-US" w:eastAsia="zh-CN"/>
                    </w:rPr>
                    <w:t>-13</w:t>
                  </w:r>
                </w:p>
              </w:tc>
              <w:tc>
                <w:tcPr>
                  <w:tcW w:w="552" w:type="pct"/>
                  <w:tcBorders>
                    <w:top w:val="single" w:color="auto" w:sz="4" w:space="0"/>
                    <w:left w:val="single" w:color="auto" w:sz="4" w:space="0"/>
                    <w:bottom w:val="single" w:color="auto" w:sz="4" w:space="0"/>
                    <w:right w:val="single" w:color="auto" w:sz="4" w:space="0"/>
                  </w:tcBorders>
                  <w:vAlign w:val="center"/>
                </w:tcPr>
                <w:p>
                  <w:pPr>
                    <w:pStyle w:val="57"/>
                    <w:rPr>
                      <w:rFonts w:hint="eastAsia" w:ascii="Times New Roman" w:hAnsi="Times New Roman" w:eastAsia="宋体" w:cs="Times New Roman"/>
                      <w:color w:val="auto"/>
                      <w:kern w:val="0"/>
                      <w:sz w:val="21"/>
                      <w:szCs w:val="24"/>
                      <w:lang w:val="en-US" w:eastAsia="zh-CN" w:bidi="ar-SA"/>
                    </w:rPr>
                  </w:pPr>
                  <w:r>
                    <w:rPr>
                      <w:rFonts w:hint="eastAsia"/>
                      <w:color w:val="auto"/>
                      <w:kern w:val="0"/>
                      <w:lang w:val="en-US" w:eastAsia="zh-CN"/>
                    </w:rPr>
                    <w:t>1.4</w:t>
                  </w:r>
                  <w:r>
                    <w:rPr>
                      <w:rFonts w:hint="default" w:ascii="Arial" w:hAnsi="Arial" w:cs="Arial"/>
                      <w:color w:val="auto"/>
                      <w:kern w:val="0"/>
                      <w:lang w:val="en-US" w:eastAsia="zh-CN"/>
                    </w:rPr>
                    <w:t>×</w:t>
                  </w:r>
                  <w:r>
                    <w:rPr>
                      <w:rFonts w:hint="eastAsia" w:cs="Times New Roman"/>
                      <w:color w:val="auto"/>
                      <w:kern w:val="0"/>
                      <w:lang w:val="en-US" w:eastAsia="zh-CN"/>
                    </w:rPr>
                    <w:t>10</w:t>
                  </w:r>
                  <w:r>
                    <w:rPr>
                      <w:rFonts w:hint="eastAsia" w:cs="Times New Roman"/>
                      <w:color w:val="auto"/>
                      <w:kern w:val="0"/>
                      <w:vertAlign w:val="superscript"/>
                      <w:lang w:val="en-US" w:eastAsia="zh-CN"/>
                    </w:rPr>
                    <w:t>-6</w:t>
                  </w:r>
                </w:p>
              </w:tc>
              <w:tc>
                <w:tcPr>
                  <w:tcW w:w="615" w:type="pct"/>
                  <w:tcBorders>
                    <w:top w:val="single" w:color="auto" w:sz="4" w:space="0"/>
                    <w:left w:val="single" w:color="auto" w:sz="4" w:space="0"/>
                    <w:bottom w:val="single" w:color="auto" w:sz="4" w:space="0"/>
                    <w:right w:val="single" w:color="auto" w:sz="4" w:space="0"/>
                  </w:tcBorders>
                  <w:vAlign w:val="center"/>
                </w:tcPr>
                <w:p>
                  <w:pPr>
                    <w:pStyle w:val="57"/>
                    <w:rPr>
                      <w:rFonts w:hint="eastAsia" w:ascii="Times New Roman" w:hAnsi="Times New Roman" w:eastAsia="宋体" w:cs="Times New Roman"/>
                      <w:color w:val="auto"/>
                      <w:kern w:val="0"/>
                      <w:sz w:val="21"/>
                      <w:szCs w:val="24"/>
                      <w:lang w:val="en-US" w:eastAsia="zh-CN" w:bidi="ar-SA"/>
                    </w:rPr>
                  </w:pPr>
                  <w:r>
                    <w:rPr>
                      <w:rFonts w:hint="eastAsia"/>
                      <w:color w:val="auto"/>
                      <w:kern w:val="0"/>
                      <w:lang w:val="en-US" w:eastAsia="zh-CN"/>
                    </w:rPr>
                    <w:t>2.72</w:t>
                  </w:r>
                  <w:r>
                    <w:rPr>
                      <w:rFonts w:hint="default" w:ascii="Arial" w:hAnsi="Arial" w:cs="Arial"/>
                      <w:color w:val="auto"/>
                      <w:kern w:val="0"/>
                      <w:lang w:val="en-US" w:eastAsia="zh-CN"/>
                    </w:rPr>
                    <w:t>×</w:t>
                  </w:r>
                  <w:r>
                    <w:rPr>
                      <w:rFonts w:hint="eastAsia" w:cs="Times New Roman"/>
                      <w:color w:val="auto"/>
                      <w:kern w:val="0"/>
                      <w:lang w:val="en-US" w:eastAsia="zh-CN"/>
                    </w:rPr>
                    <w:t>10</w:t>
                  </w:r>
                  <w:r>
                    <w:rPr>
                      <w:rFonts w:hint="eastAsia" w:cs="Times New Roman"/>
                      <w:color w:val="auto"/>
                      <w:kern w:val="0"/>
                      <w:vertAlign w:val="superscript"/>
                      <w:lang w:val="en-US" w:eastAsia="zh-CN"/>
                    </w:rPr>
                    <w:t>-6</w:t>
                  </w:r>
                </w:p>
              </w:tc>
              <w:tc>
                <w:tcPr>
                  <w:tcW w:w="476" w:type="pct"/>
                  <w:vMerge w:val="continue"/>
                  <w:tcBorders>
                    <w:left w:val="single" w:color="auto" w:sz="4" w:space="0"/>
                    <w:bottom w:val="single" w:color="auto" w:sz="4" w:space="0"/>
                    <w:right w:val="single" w:color="auto" w:sz="4" w:space="0"/>
                  </w:tcBorders>
                  <w:vAlign w:val="center"/>
                </w:tcPr>
                <w:p>
                  <w:pPr>
                    <w:pStyle w:val="57"/>
                    <w:rPr>
                      <w:color w:val="auto"/>
                      <w:kern w:val="0"/>
                      <w:sz w:val="24"/>
                    </w:rPr>
                  </w:pPr>
                </w:p>
              </w:tc>
              <w:tc>
                <w:tcPr>
                  <w:tcW w:w="475" w:type="pct"/>
                  <w:tcBorders>
                    <w:top w:val="single" w:color="auto" w:sz="4" w:space="0"/>
                    <w:left w:val="single" w:color="auto" w:sz="4" w:space="0"/>
                    <w:bottom w:val="single" w:color="auto" w:sz="4" w:space="0"/>
                    <w:right w:val="single" w:color="auto" w:sz="4" w:space="0"/>
                  </w:tcBorders>
                  <w:vAlign w:val="center"/>
                </w:tcPr>
                <w:p>
                  <w:pPr>
                    <w:pStyle w:val="57"/>
                    <w:rPr>
                      <w:rFonts w:hint="default" w:eastAsia="宋体"/>
                      <w:color w:val="auto"/>
                      <w:kern w:val="0"/>
                      <w:lang w:val="en-US" w:eastAsia="zh-CN"/>
                    </w:rPr>
                  </w:pPr>
                  <w:r>
                    <w:rPr>
                      <w:rFonts w:hint="eastAsia"/>
                      <w:color w:val="auto"/>
                      <w:kern w:val="0"/>
                      <w:lang w:val="en-US" w:eastAsia="zh-CN"/>
                    </w:rPr>
                    <w:t>/</w:t>
                  </w:r>
                </w:p>
              </w:tc>
              <w:tc>
                <w:tcPr>
                  <w:tcW w:w="593" w:type="pct"/>
                  <w:tcBorders>
                    <w:top w:val="single" w:color="auto" w:sz="4" w:space="0"/>
                    <w:left w:val="single" w:color="auto" w:sz="4" w:space="0"/>
                    <w:bottom w:val="single" w:color="auto" w:sz="4" w:space="0"/>
                    <w:right w:val="single" w:color="auto" w:sz="4" w:space="0"/>
                  </w:tcBorders>
                  <w:vAlign w:val="center"/>
                </w:tcPr>
                <w:p>
                  <w:pPr>
                    <w:pStyle w:val="57"/>
                    <w:rPr>
                      <w:rFonts w:hint="default" w:eastAsia="宋体"/>
                      <w:color w:val="auto"/>
                      <w:kern w:val="0"/>
                      <w:lang w:val="en-US" w:eastAsia="zh-CN"/>
                    </w:rPr>
                  </w:pPr>
                  <w:r>
                    <w:rPr>
                      <w:rFonts w:hint="eastAsia"/>
                      <w:color w:val="auto"/>
                      <w:kern w:val="0"/>
                      <w:lang w:val="en-US" w:eastAsia="zh-CN"/>
                    </w:rPr>
                    <w:t>3.2</w:t>
                  </w:r>
                  <w:r>
                    <w:rPr>
                      <w:rFonts w:hint="default" w:ascii="Arial" w:hAnsi="Arial" w:cs="Arial"/>
                      <w:color w:val="auto"/>
                      <w:kern w:val="0"/>
                      <w:lang w:val="en-US" w:eastAsia="zh-CN"/>
                    </w:rPr>
                    <w:t>×</w:t>
                  </w:r>
                  <w:r>
                    <w:rPr>
                      <w:rFonts w:hint="eastAsia" w:cs="Times New Roman"/>
                      <w:color w:val="auto"/>
                      <w:kern w:val="0"/>
                      <w:lang w:val="en-US" w:eastAsia="zh-CN"/>
                    </w:rPr>
                    <w:t>10</w:t>
                  </w:r>
                  <w:r>
                    <w:rPr>
                      <w:rFonts w:hint="eastAsia" w:cs="Times New Roman"/>
                      <w:color w:val="auto"/>
                      <w:kern w:val="0"/>
                      <w:vertAlign w:val="superscript"/>
                      <w:lang w:val="en-US" w:eastAsia="zh-CN"/>
                    </w:rPr>
                    <w:t>-13</w:t>
                  </w:r>
                </w:p>
              </w:tc>
              <w:tc>
                <w:tcPr>
                  <w:tcW w:w="552" w:type="pct"/>
                  <w:tcBorders>
                    <w:top w:val="single" w:color="auto" w:sz="4" w:space="0"/>
                    <w:left w:val="single" w:color="auto" w:sz="4" w:space="0"/>
                    <w:bottom w:val="single" w:color="auto" w:sz="4" w:space="0"/>
                    <w:right w:val="single" w:color="auto" w:sz="4" w:space="0"/>
                  </w:tcBorders>
                  <w:vAlign w:val="center"/>
                </w:tcPr>
                <w:p>
                  <w:pPr>
                    <w:pStyle w:val="57"/>
                    <w:rPr>
                      <w:rFonts w:hint="default" w:eastAsia="宋体"/>
                      <w:color w:val="auto"/>
                      <w:kern w:val="0"/>
                      <w:lang w:val="en-US" w:eastAsia="zh-CN"/>
                    </w:rPr>
                  </w:pPr>
                  <w:r>
                    <w:rPr>
                      <w:rFonts w:hint="eastAsia"/>
                      <w:color w:val="auto"/>
                      <w:kern w:val="0"/>
                      <w:lang w:val="en-US" w:eastAsia="zh-CN"/>
                    </w:rPr>
                    <w:t>1.4</w:t>
                  </w:r>
                  <w:r>
                    <w:rPr>
                      <w:rFonts w:hint="default" w:ascii="Arial" w:hAnsi="Arial" w:cs="Arial"/>
                      <w:color w:val="auto"/>
                      <w:kern w:val="0"/>
                      <w:lang w:val="en-US" w:eastAsia="zh-CN"/>
                    </w:rPr>
                    <w:t>×</w:t>
                  </w:r>
                  <w:r>
                    <w:rPr>
                      <w:rFonts w:hint="eastAsia" w:cs="Times New Roman"/>
                      <w:color w:val="auto"/>
                      <w:kern w:val="0"/>
                      <w:lang w:val="en-US" w:eastAsia="zh-CN"/>
                    </w:rPr>
                    <w:t>10</w:t>
                  </w:r>
                  <w:r>
                    <w:rPr>
                      <w:rFonts w:hint="eastAsia" w:cs="Times New Roman"/>
                      <w:color w:val="auto"/>
                      <w:kern w:val="0"/>
                      <w:vertAlign w:val="superscript"/>
                      <w:lang w:val="en-US" w:eastAsia="zh-CN"/>
                    </w:rPr>
                    <w:t>-6</w:t>
                  </w:r>
                </w:p>
              </w:tc>
              <w:tc>
                <w:tcPr>
                  <w:tcW w:w="615" w:type="pct"/>
                  <w:tcBorders>
                    <w:right w:val="nil"/>
                  </w:tcBorders>
                  <w:vAlign w:val="center"/>
                </w:tcPr>
                <w:p>
                  <w:pPr>
                    <w:pStyle w:val="57"/>
                    <w:rPr>
                      <w:rFonts w:hint="default" w:ascii="Times New Roman" w:hAnsi="Times New Roman" w:eastAsia="宋体" w:cs="Times New Roman"/>
                      <w:color w:val="auto"/>
                      <w:kern w:val="0"/>
                      <w:lang w:val="en-US" w:eastAsia="zh-CN"/>
                    </w:rPr>
                  </w:pPr>
                  <w:r>
                    <w:rPr>
                      <w:rFonts w:hint="eastAsia"/>
                      <w:color w:val="auto"/>
                      <w:kern w:val="0"/>
                      <w:lang w:val="en-US" w:eastAsia="zh-CN"/>
                    </w:rPr>
                    <w:t>2.72</w:t>
                  </w:r>
                  <w:r>
                    <w:rPr>
                      <w:rFonts w:hint="default" w:ascii="Arial" w:hAnsi="Arial" w:cs="Arial"/>
                      <w:color w:val="auto"/>
                      <w:kern w:val="0"/>
                      <w:lang w:val="en-US" w:eastAsia="zh-CN"/>
                    </w:rPr>
                    <w:t>×</w:t>
                  </w:r>
                  <w:r>
                    <w:rPr>
                      <w:rFonts w:hint="eastAsia" w:cs="Times New Roman"/>
                      <w:color w:val="auto"/>
                      <w:kern w:val="0"/>
                      <w:lang w:val="en-US" w:eastAsia="zh-CN"/>
                    </w:rPr>
                    <w:t>10</w:t>
                  </w:r>
                  <w:r>
                    <w:rPr>
                      <w:rFonts w:hint="eastAsia" w:cs="Times New Roman"/>
                      <w:color w:val="auto"/>
                      <w:kern w:val="0"/>
                      <w:vertAlign w:val="superscript"/>
                      <w:lang w:val="en-US" w:eastAsia="zh-CN"/>
                    </w:rPr>
                    <w:t>-6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5000" w:type="pct"/>
                  <w:gridSpan w:val="9"/>
                  <w:tcBorders>
                    <w:top w:val="single" w:color="auto" w:sz="4" w:space="0"/>
                    <w:left w:val="nil"/>
                    <w:bottom w:val="single" w:color="auto" w:sz="12" w:space="0"/>
                    <w:right w:val="nil"/>
                  </w:tcBorders>
                  <w:vAlign w:val="center"/>
                </w:tcPr>
                <w:p>
                  <w:pPr>
                    <w:pStyle w:val="57"/>
                    <w:jc w:val="both"/>
                    <w:rPr>
                      <w:rFonts w:eastAsia="Times New Roman"/>
                      <w:color w:val="auto"/>
                      <w:kern w:val="0"/>
                      <w:sz w:val="20"/>
                      <w:szCs w:val="20"/>
                    </w:rPr>
                  </w:pPr>
                  <w:r>
                    <w:rPr>
                      <w:rFonts w:ascii="宋体" w:hAnsi="宋体" w:cs="宋体"/>
                      <w:color w:val="auto"/>
                      <w:kern w:val="0"/>
                      <w:sz w:val="22"/>
                    </w:rPr>
                    <w:t>备注：生物质燃料含硫量为收到基硫分含量，根据公式</w:t>
                  </w:r>
                  <w:r>
                    <w:rPr>
                      <w:color w:val="auto"/>
                      <w:kern w:val="0"/>
                      <w:sz w:val="22"/>
                    </w:rPr>
                    <w:t>t,ar=St,ad*(100-Mt)/(100-Mad)</w:t>
                  </w:r>
                  <w:r>
                    <w:rPr>
                      <w:rFonts w:ascii="宋体" w:hAnsi="宋体" w:cs="宋体"/>
                      <w:color w:val="auto"/>
                      <w:kern w:val="0"/>
                      <w:sz w:val="22"/>
                    </w:rPr>
                    <w:t>，其中根据表</w:t>
                  </w:r>
                  <w:r>
                    <w:rPr>
                      <w:color w:val="auto"/>
                      <w:kern w:val="0"/>
                      <w:sz w:val="22"/>
                    </w:rPr>
                    <w:t>2-5</w:t>
                  </w:r>
                  <w:r>
                    <w:rPr>
                      <w:rFonts w:ascii="宋体" w:hAnsi="宋体" w:cs="宋体"/>
                      <w:color w:val="auto"/>
                      <w:kern w:val="0"/>
                      <w:sz w:val="22"/>
                    </w:rPr>
                    <w:t>可知</w:t>
                  </w:r>
                  <w:r>
                    <w:rPr>
                      <w:color w:val="auto"/>
                      <w:kern w:val="0"/>
                      <w:sz w:val="22"/>
                    </w:rPr>
                    <w:t>St,ad=0.11%</w:t>
                  </w:r>
                  <w:r>
                    <w:rPr>
                      <w:rFonts w:ascii="宋体" w:hAnsi="宋体" w:cs="宋体"/>
                      <w:color w:val="auto"/>
                      <w:kern w:val="0"/>
                      <w:sz w:val="22"/>
                    </w:rPr>
                    <w:t>、</w:t>
                  </w:r>
                  <w:r>
                    <w:rPr>
                      <w:color w:val="auto"/>
                      <w:kern w:val="0"/>
                      <w:sz w:val="22"/>
                    </w:rPr>
                    <w:t>Mt=5.1%</w:t>
                  </w:r>
                  <w:r>
                    <w:rPr>
                      <w:rFonts w:ascii="宋体" w:hAnsi="宋体" w:cs="宋体"/>
                      <w:color w:val="auto"/>
                      <w:kern w:val="0"/>
                      <w:sz w:val="22"/>
                    </w:rPr>
                    <w:t>、</w:t>
                  </w:r>
                  <w:r>
                    <w:rPr>
                      <w:color w:val="auto"/>
                      <w:kern w:val="0"/>
                      <w:sz w:val="22"/>
                    </w:rPr>
                    <w:t>Mad=0.6%</w:t>
                  </w:r>
                  <w:r>
                    <w:rPr>
                      <w:rFonts w:ascii="宋体" w:hAnsi="宋体" w:cs="宋体"/>
                      <w:color w:val="auto"/>
                      <w:kern w:val="0"/>
                      <w:sz w:val="22"/>
                    </w:rPr>
                    <w:t>，计算可得</w:t>
                  </w:r>
                  <w:r>
                    <w:rPr>
                      <w:color w:val="auto"/>
                      <w:kern w:val="0"/>
                      <w:sz w:val="22"/>
                    </w:rPr>
                    <w:t>St,ar=0.105%</w:t>
                  </w:r>
                  <w:r>
                    <w:rPr>
                      <w:rFonts w:ascii="宋体" w:hAnsi="宋体" w:cs="宋体"/>
                      <w:color w:val="auto"/>
                      <w:kern w:val="0"/>
                      <w:sz w:val="22"/>
                    </w:rPr>
                    <w:t>，故</w:t>
                  </w:r>
                  <w:r>
                    <w:rPr>
                      <w:color w:val="auto"/>
                      <w:kern w:val="0"/>
                      <w:sz w:val="22"/>
                    </w:rPr>
                    <w:t>S</w:t>
                  </w:r>
                  <w:r>
                    <w:rPr>
                      <w:rFonts w:ascii="宋体" w:hAnsi="宋体" w:cs="宋体"/>
                      <w:color w:val="auto"/>
                      <w:kern w:val="0"/>
                      <w:sz w:val="22"/>
                    </w:rPr>
                    <w:t>取</w:t>
                  </w:r>
                  <w:r>
                    <w:rPr>
                      <w:color w:val="auto"/>
                      <w:kern w:val="0"/>
                      <w:sz w:val="22"/>
                    </w:rPr>
                    <w:t>0.105</w:t>
                  </w:r>
                  <w:r>
                    <w:rPr>
                      <w:rFonts w:hint="eastAsia"/>
                      <w:color w:val="auto"/>
                      <w:kern w:val="0"/>
                      <w:sz w:val="22"/>
                    </w:rPr>
                    <w:t>%</w:t>
                  </w:r>
                  <w:r>
                    <w:rPr>
                      <w:rFonts w:ascii="宋体" w:hAnsi="宋体" w:cs="宋体"/>
                      <w:color w:val="auto"/>
                      <w:kern w:val="0"/>
                      <w:sz w:val="22"/>
                    </w:rPr>
                    <w:t>。</w:t>
                  </w:r>
                </w:p>
              </w:tc>
            </w:tr>
          </w:tbl>
          <w:p>
            <w:pPr>
              <w:pStyle w:val="25"/>
              <w:ind w:firstLine="480"/>
              <w:rPr>
                <w:rFonts w:cs="宋体"/>
                <w:color w:val="auto"/>
              </w:rPr>
            </w:pPr>
            <w:r>
              <w:rPr>
                <w:rStyle w:val="47"/>
                <w:rFonts w:hint="default"/>
                <w:color w:val="auto"/>
              </w:rPr>
              <w:t>经处理后，烟尘</w:t>
            </w:r>
            <w:r>
              <w:rPr>
                <w:rStyle w:val="47"/>
                <w:rFonts w:hint="default" w:ascii="Times New Roman"/>
                <w:color w:val="auto"/>
              </w:rPr>
              <w:t>、二氧化硫、氮氧化物的排放浓度可满足</w:t>
            </w:r>
            <w:r>
              <w:rPr>
                <w:rFonts w:hint="eastAsia" w:ascii="Times New Roman" w:hAnsi="Times New Roman" w:eastAsia="宋体" w:cs="Times New Roman"/>
                <w:color w:val="auto"/>
                <w:sz w:val="24"/>
                <w:szCs w:val="24"/>
                <w:lang w:eastAsia="zh-CN"/>
              </w:rPr>
              <w:t>烟尘、二氧化硫、林格曼黑度执行《工业炉窑大气污染物排放标准》（</w:t>
            </w:r>
            <w:r>
              <w:rPr>
                <w:rFonts w:hint="eastAsia" w:ascii="Times New Roman" w:hAnsi="Times New Roman" w:eastAsia="宋体" w:cs="Times New Roman"/>
                <w:color w:val="auto"/>
                <w:sz w:val="24"/>
                <w:szCs w:val="24"/>
                <w:lang w:val="en-US" w:eastAsia="zh-CN"/>
              </w:rPr>
              <w:t>GB9078-1996</w:t>
            </w:r>
            <w:r>
              <w:rPr>
                <w:rFonts w:hint="eastAsia" w:ascii="Times New Roman" w:hAnsi="Times New Roman" w:eastAsia="宋体" w:cs="Times New Roman"/>
                <w:color w:val="auto"/>
                <w:sz w:val="24"/>
                <w:szCs w:val="24"/>
                <w:lang w:eastAsia="zh-CN"/>
              </w:rPr>
              <w:t>）中</w:t>
            </w:r>
            <w:r>
              <w:rPr>
                <w:rFonts w:hint="eastAsia" w:cs="Times New Roman"/>
                <w:color w:val="auto"/>
                <w:sz w:val="24"/>
                <w:szCs w:val="24"/>
                <w:lang w:val="en-US" w:eastAsia="zh-CN"/>
              </w:rPr>
              <w:t>二级排放标准</w:t>
            </w:r>
            <w:r>
              <w:rPr>
                <w:rFonts w:hint="eastAsia" w:ascii="Times New Roman" w:hAnsi="Times New Roman" w:eastAsia="宋体" w:cs="Times New Roman"/>
                <w:color w:val="auto"/>
                <w:sz w:val="24"/>
                <w:szCs w:val="24"/>
                <w:lang w:eastAsia="zh-CN"/>
              </w:rPr>
              <w:t>，氮氧化物执行</w:t>
            </w:r>
            <w:r>
              <w:rPr>
                <w:rFonts w:hint="default" w:ascii="Times New Roman" w:hAnsi="Times New Roman" w:eastAsia="宋体" w:cs="Times New Roman"/>
                <w:color w:val="auto"/>
                <w:sz w:val="24"/>
                <w:szCs w:val="24"/>
              </w:rPr>
              <w:t>《大气污染物综合排放标准》（GB16297-1996）表</w:t>
            </w:r>
            <w:r>
              <w:rPr>
                <w:rFonts w:hint="eastAsia"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二级排放</w:t>
            </w:r>
            <w:r>
              <w:rPr>
                <w:rStyle w:val="47"/>
                <w:rFonts w:hint="default" w:ascii="Times New Roman"/>
                <w:color w:val="auto"/>
              </w:rPr>
              <w:t>要求，</w:t>
            </w:r>
            <w:r>
              <w:rPr>
                <w:rStyle w:val="47"/>
                <w:rFonts w:hint="eastAsia"/>
                <w:color w:val="auto"/>
                <w:lang w:eastAsia="zh-CN"/>
              </w:rPr>
              <w:t>可</w:t>
            </w:r>
            <w:r>
              <w:rPr>
                <w:rStyle w:val="47"/>
                <w:rFonts w:hint="default" w:ascii="Times New Roman"/>
                <w:color w:val="auto"/>
              </w:rPr>
              <w:t>达标排放。</w:t>
            </w:r>
          </w:p>
          <w:p>
            <w:pPr>
              <w:pStyle w:val="31"/>
              <w:ind w:firstLine="480"/>
              <w:rPr>
                <w:rFonts w:eastAsiaTheme="minorEastAsia"/>
                <w:color w:val="auto"/>
                <w:szCs w:val="21"/>
              </w:rPr>
            </w:pPr>
            <w:r>
              <w:rPr>
                <w:rFonts w:eastAsiaTheme="minorEastAsia"/>
                <w:color w:val="auto"/>
                <w:szCs w:val="21"/>
              </w:rPr>
              <w:fldChar w:fldCharType="begin"/>
            </w:r>
            <w:r>
              <w:rPr>
                <w:rFonts w:eastAsiaTheme="minorEastAsia"/>
                <w:color w:val="auto"/>
                <w:szCs w:val="21"/>
              </w:rPr>
              <w:instrText xml:space="preserve"> </w:instrText>
            </w:r>
            <w:r>
              <w:rPr>
                <w:rFonts w:hint="eastAsia" w:eastAsiaTheme="minorEastAsia"/>
                <w:color w:val="auto"/>
                <w:szCs w:val="21"/>
              </w:rPr>
              <w:instrText xml:space="preserve">= 5 \* GB3</w:instrText>
            </w:r>
            <w:r>
              <w:rPr>
                <w:rFonts w:eastAsiaTheme="minorEastAsia"/>
                <w:color w:val="auto"/>
                <w:szCs w:val="21"/>
              </w:rPr>
              <w:instrText xml:space="preserve"> </w:instrText>
            </w:r>
            <w:r>
              <w:rPr>
                <w:rFonts w:eastAsiaTheme="minorEastAsia"/>
                <w:color w:val="auto"/>
                <w:szCs w:val="21"/>
              </w:rPr>
              <w:fldChar w:fldCharType="separate"/>
            </w:r>
            <w:r>
              <w:rPr>
                <w:rFonts w:hint="eastAsia" w:eastAsiaTheme="minorEastAsia"/>
                <w:color w:val="auto"/>
                <w:szCs w:val="21"/>
              </w:rPr>
              <w:t>⑤</w:t>
            </w:r>
            <w:r>
              <w:rPr>
                <w:rFonts w:eastAsiaTheme="minorEastAsia"/>
                <w:color w:val="auto"/>
                <w:szCs w:val="21"/>
              </w:rPr>
              <w:fldChar w:fldCharType="end"/>
            </w:r>
            <w:r>
              <w:rPr>
                <w:rFonts w:hint="eastAsia" w:eastAsiaTheme="minorEastAsia"/>
                <w:color w:val="auto"/>
                <w:szCs w:val="21"/>
              </w:rPr>
              <w:t>食堂油烟</w:t>
            </w:r>
          </w:p>
          <w:p>
            <w:pPr>
              <w:pStyle w:val="25"/>
              <w:ind w:firstLine="480"/>
              <w:rPr>
                <w:rStyle w:val="47"/>
                <w:rFonts w:hint="default" w:ascii="Times New Roman" w:hAnsi="Times New Roman"/>
                <w:color w:val="auto"/>
              </w:rPr>
            </w:pPr>
            <w:r>
              <w:rPr>
                <w:rStyle w:val="47"/>
                <w:rFonts w:hint="default" w:ascii="Times New Roman"/>
                <w:color w:val="auto"/>
              </w:rPr>
              <w:t>本项目设有食堂，项目劳动定员</w:t>
            </w:r>
            <w:r>
              <w:rPr>
                <w:rStyle w:val="37"/>
                <w:rFonts w:hint="default" w:ascii="Times New Roman" w:eastAsiaTheme="minorEastAsia"/>
                <w:color w:val="auto"/>
              </w:rPr>
              <w:t>25</w:t>
            </w:r>
            <w:r>
              <w:rPr>
                <w:rStyle w:val="47"/>
                <w:rFonts w:hint="default" w:ascii="Times New Roman"/>
                <w:color w:val="auto"/>
              </w:rPr>
              <w:t>人，食用油用量按</w:t>
            </w:r>
            <w:r>
              <w:rPr>
                <w:rStyle w:val="37"/>
                <w:rFonts w:hint="default" w:ascii="Times New Roman"/>
                <w:color w:val="auto"/>
              </w:rPr>
              <w:t>0.03kg/</w:t>
            </w:r>
            <w:r>
              <w:rPr>
                <w:rStyle w:val="47"/>
                <w:rFonts w:hint="default" w:ascii="Times New Roman"/>
                <w:color w:val="auto"/>
              </w:rPr>
              <w:t>（人</w:t>
            </w:r>
            <w:r>
              <w:rPr>
                <w:rStyle w:val="47"/>
                <w:rFonts w:hint="default" w:ascii="Times New Roman" w:hAnsi="Times New Roman"/>
                <w:color w:val="auto"/>
              </w:rPr>
              <w:t>·</w:t>
            </w:r>
            <w:r>
              <w:rPr>
                <w:rStyle w:val="37"/>
                <w:rFonts w:hint="default" w:ascii="Times New Roman"/>
                <w:color w:val="auto"/>
              </w:rPr>
              <w:t>d</w:t>
            </w:r>
            <w:r>
              <w:rPr>
                <w:rStyle w:val="47"/>
                <w:rFonts w:hint="default" w:ascii="Times New Roman"/>
                <w:color w:val="auto"/>
              </w:rPr>
              <w:t>）计，烹调过程中油烟的平均挥发损失量为总耗油量的</w:t>
            </w:r>
            <w:r>
              <w:rPr>
                <w:rStyle w:val="37"/>
                <w:rFonts w:hint="default" w:ascii="Times New Roman"/>
                <w:color w:val="auto"/>
              </w:rPr>
              <w:t>3%</w:t>
            </w:r>
            <w:r>
              <w:rPr>
                <w:rStyle w:val="47"/>
                <w:rFonts w:hint="default" w:ascii="Times New Roman"/>
                <w:color w:val="auto"/>
              </w:rPr>
              <w:t>，因此本项目油烟废气产生量为</w:t>
            </w:r>
            <w:r>
              <w:rPr>
                <w:rStyle w:val="37"/>
                <w:rFonts w:hint="default" w:ascii="Times New Roman"/>
                <w:color w:val="auto"/>
              </w:rPr>
              <w:t>0.00</w:t>
            </w:r>
            <w:r>
              <w:rPr>
                <w:rStyle w:val="37"/>
                <w:rFonts w:hint="default" w:ascii="Times New Roman" w:eastAsiaTheme="minorEastAsia"/>
                <w:color w:val="auto"/>
              </w:rPr>
              <w:t>23</w:t>
            </w:r>
            <w:r>
              <w:rPr>
                <w:rStyle w:val="37"/>
                <w:rFonts w:hint="default" w:ascii="Times New Roman"/>
                <w:color w:val="auto"/>
              </w:rPr>
              <w:t>kg/d</w:t>
            </w:r>
            <w:r>
              <w:rPr>
                <w:rStyle w:val="47"/>
                <w:rFonts w:hint="default" w:ascii="Times New Roman"/>
                <w:color w:val="auto"/>
              </w:rPr>
              <w:t>，食堂烹饪时间按</w:t>
            </w:r>
            <w:r>
              <w:rPr>
                <w:rStyle w:val="37"/>
                <w:rFonts w:hint="default" w:ascii="Times New Roman"/>
                <w:color w:val="auto"/>
              </w:rPr>
              <w:t>3h/d</w:t>
            </w:r>
            <w:r>
              <w:rPr>
                <w:rStyle w:val="47"/>
                <w:rFonts w:hint="default" w:ascii="Times New Roman"/>
                <w:color w:val="auto"/>
              </w:rPr>
              <w:t>计，油烟产生速率为</w:t>
            </w:r>
            <w:r>
              <w:rPr>
                <w:rStyle w:val="37"/>
                <w:rFonts w:hint="default" w:ascii="Times New Roman"/>
                <w:color w:val="auto"/>
              </w:rPr>
              <w:t>0.00</w:t>
            </w:r>
            <w:r>
              <w:rPr>
                <w:rStyle w:val="37"/>
                <w:rFonts w:hint="default" w:ascii="Times New Roman" w:eastAsiaTheme="minorEastAsia"/>
                <w:color w:val="auto"/>
              </w:rPr>
              <w:t>08</w:t>
            </w:r>
            <w:r>
              <w:rPr>
                <w:rStyle w:val="37"/>
                <w:rFonts w:hint="default" w:ascii="Times New Roman"/>
                <w:color w:val="auto"/>
              </w:rPr>
              <w:t>kg/h</w:t>
            </w:r>
            <w:r>
              <w:rPr>
                <w:rStyle w:val="47"/>
                <w:rFonts w:hint="default" w:ascii="Times New Roman"/>
                <w:color w:val="auto"/>
              </w:rPr>
              <w:t>。职工食堂内的基准灶头按</w:t>
            </w:r>
            <w:r>
              <w:rPr>
                <w:rStyle w:val="37"/>
                <w:rFonts w:hint="default" w:ascii="Times New Roman"/>
                <w:color w:val="auto"/>
              </w:rPr>
              <w:t>2</w:t>
            </w:r>
            <w:r>
              <w:rPr>
                <w:rStyle w:val="47"/>
                <w:rFonts w:hint="default" w:ascii="Times New Roman"/>
                <w:color w:val="auto"/>
              </w:rPr>
              <w:t>个计，每个灶头排风量为</w:t>
            </w:r>
            <w:r>
              <w:rPr>
                <w:rStyle w:val="37"/>
                <w:rFonts w:hint="default" w:ascii="Times New Roman"/>
                <w:color w:val="auto"/>
              </w:rPr>
              <w:t>2000</w:t>
            </w:r>
            <w:r>
              <w:rPr>
                <w:rStyle w:val="37"/>
                <w:rFonts w:hint="default" w:ascii="Times New Roman" w:eastAsiaTheme="minorEastAsia"/>
                <w:color w:val="auto"/>
              </w:rPr>
              <w:t>m</w:t>
            </w:r>
            <w:r>
              <w:rPr>
                <w:rStyle w:val="37"/>
                <w:rFonts w:hint="default" w:ascii="Times New Roman" w:eastAsiaTheme="minorEastAsia"/>
                <w:color w:val="auto"/>
                <w:vertAlign w:val="superscript"/>
              </w:rPr>
              <w:t>3</w:t>
            </w:r>
            <w:r>
              <w:rPr>
                <w:rStyle w:val="37"/>
                <w:rFonts w:hint="default" w:ascii="Times New Roman"/>
                <w:color w:val="auto"/>
              </w:rPr>
              <w:t>/h</w:t>
            </w:r>
            <w:r>
              <w:rPr>
                <w:rStyle w:val="47"/>
                <w:rFonts w:hint="default" w:ascii="Times New Roman"/>
                <w:color w:val="auto"/>
              </w:rPr>
              <w:t>，则油烟产生浓度约为</w:t>
            </w:r>
            <w:r>
              <w:rPr>
                <w:rStyle w:val="37"/>
                <w:rFonts w:hint="default" w:ascii="Times New Roman"/>
                <w:color w:val="auto"/>
              </w:rPr>
              <w:t>0.</w:t>
            </w:r>
            <w:r>
              <w:rPr>
                <w:rStyle w:val="37"/>
                <w:rFonts w:hint="default" w:ascii="Times New Roman" w:eastAsiaTheme="minorEastAsia"/>
                <w:color w:val="auto"/>
              </w:rPr>
              <w:t>2</w:t>
            </w:r>
            <w:r>
              <w:rPr>
                <w:rStyle w:val="37"/>
                <w:rFonts w:hint="default" w:ascii="Times New Roman"/>
                <w:color w:val="auto"/>
              </w:rPr>
              <w:t>mg/</w:t>
            </w:r>
            <w:r>
              <w:rPr>
                <w:rStyle w:val="37"/>
                <w:rFonts w:hint="default" w:ascii="Times New Roman" w:eastAsiaTheme="minorEastAsia"/>
                <w:color w:val="auto"/>
              </w:rPr>
              <w:t>m</w:t>
            </w:r>
            <w:r>
              <w:rPr>
                <w:rStyle w:val="37"/>
                <w:rFonts w:hint="default" w:ascii="Times New Roman" w:eastAsiaTheme="minorEastAsia"/>
                <w:color w:val="auto"/>
                <w:vertAlign w:val="superscript"/>
              </w:rPr>
              <w:t>3</w:t>
            </w:r>
            <w:r>
              <w:rPr>
                <w:rStyle w:val="47"/>
                <w:rFonts w:hint="default" w:ascii="Times New Roman"/>
                <w:color w:val="auto"/>
              </w:rPr>
              <w:t>。油烟经高效油烟净化器处理后屋顶排放，一般高效油烟净化器去除效率在</w:t>
            </w:r>
            <w:r>
              <w:rPr>
                <w:rStyle w:val="37"/>
                <w:rFonts w:hint="default" w:ascii="Times New Roman"/>
                <w:color w:val="auto"/>
              </w:rPr>
              <w:t>60%</w:t>
            </w:r>
            <w:r>
              <w:rPr>
                <w:rStyle w:val="47"/>
                <w:rFonts w:hint="default" w:ascii="Times New Roman"/>
                <w:color w:val="auto"/>
              </w:rPr>
              <w:t>左右，则油烟排放量约</w:t>
            </w:r>
            <w:r>
              <w:rPr>
                <w:rStyle w:val="37"/>
                <w:rFonts w:hint="default" w:ascii="Times New Roman"/>
                <w:color w:val="auto"/>
              </w:rPr>
              <w:t>0.00</w:t>
            </w:r>
            <w:r>
              <w:rPr>
                <w:rStyle w:val="37"/>
                <w:rFonts w:hint="default" w:ascii="Times New Roman" w:eastAsiaTheme="minorEastAsia"/>
                <w:color w:val="auto"/>
              </w:rPr>
              <w:t>092</w:t>
            </w:r>
            <w:r>
              <w:rPr>
                <w:rStyle w:val="37"/>
                <w:rFonts w:hint="default" w:ascii="Times New Roman"/>
                <w:color w:val="auto"/>
              </w:rPr>
              <w:t>kg/d</w:t>
            </w:r>
            <w:r>
              <w:rPr>
                <w:rStyle w:val="47"/>
                <w:rFonts w:hint="default" w:ascii="Times New Roman"/>
                <w:color w:val="auto"/>
              </w:rPr>
              <w:t>，</w:t>
            </w:r>
            <w:r>
              <w:rPr>
                <w:rStyle w:val="37"/>
                <w:rFonts w:hint="default" w:ascii="Times New Roman"/>
                <w:color w:val="auto"/>
              </w:rPr>
              <w:t>0.</w:t>
            </w:r>
            <w:r>
              <w:rPr>
                <w:rStyle w:val="37"/>
                <w:rFonts w:hint="default" w:ascii="Times New Roman" w:eastAsiaTheme="minorEastAsia"/>
                <w:color w:val="auto"/>
              </w:rPr>
              <w:t>276</w:t>
            </w:r>
            <w:r>
              <w:rPr>
                <w:rStyle w:val="37"/>
                <w:rFonts w:hint="default" w:ascii="Times New Roman"/>
                <w:color w:val="auto"/>
              </w:rPr>
              <w:t>kg/a</w:t>
            </w:r>
            <w:r>
              <w:rPr>
                <w:rStyle w:val="47"/>
                <w:rFonts w:hint="default" w:ascii="Times New Roman"/>
                <w:color w:val="auto"/>
              </w:rPr>
              <w:t>，油烟排放浓度约为</w:t>
            </w:r>
            <w:r>
              <w:rPr>
                <w:rStyle w:val="37"/>
                <w:rFonts w:hint="default" w:ascii="Times New Roman"/>
                <w:color w:val="auto"/>
              </w:rPr>
              <w:t>0.</w:t>
            </w:r>
            <w:r>
              <w:rPr>
                <w:rStyle w:val="37"/>
                <w:rFonts w:hint="default" w:ascii="Times New Roman" w:eastAsiaTheme="minorEastAsia"/>
                <w:color w:val="auto"/>
              </w:rPr>
              <w:t>0</w:t>
            </w:r>
            <w:r>
              <w:rPr>
                <w:rStyle w:val="37"/>
                <w:rFonts w:hint="default" w:ascii="Times New Roman"/>
                <w:color w:val="auto"/>
              </w:rPr>
              <w:t>8mg/m</w:t>
            </w:r>
            <w:r>
              <w:rPr>
                <w:rStyle w:val="37"/>
                <w:rFonts w:hint="default" w:ascii="Times New Roman" w:eastAsiaTheme="minorEastAsia"/>
                <w:color w:val="auto"/>
                <w:vertAlign w:val="superscript"/>
              </w:rPr>
              <w:t>3</w:t>
            </w:r>
            <w:r>
              <w:rPr>
                <w:rStyle w:val="47"/>
                <w:rFonts w:hint="default" w:ascii="Times New Roman"/>
                <w:color w:val="auto"/>
              </w:rPr>
              <w:t>。可满足《饮食业油烟排放标准（试行）》（</w:t>
            </w:r>
            <w:r>
              <w:rPr>
                <w:rStyle w:val="37"/>
                <w:rFonts w:hint="default" w:ascii="Times New Roman"/>
                <w:color w:val="auto"/>
              </w:rPr>
              <w:t>GB18483-2001</w:t>
            </w:r>
            <w:r>
              <w:rPr>
                <w:rStyle w:val="47"/>
                <w:rFonts w:hint="default" w:ascii="Times New Roman"/>
                <w:color w:val="auto"/>
              </w:rPr>
              <w:t>）中小型标准要求。</w:t>
            </w:r>
          </w:p>
          <w:p>
            <w:pPr>
              <w:pStyle w:val="25"/>
              <w:ind w:firstLine="480"/>
              <w:rPr>
                <w:rStyle w:val="47"/>
                <w:rFonts w:hint="default" w:ascii="Times New Roman" w:hAnsi="Times New Roman"/>
                <w:color w:val="auto"/>
              </w:rPr>
            </w:pPr>
            <w:r>
              <w:rPr>
                <w:rStyle w:val="47"/>
                <w:rFonts w:hint="default" w:ascii="Times New Roman" w:hAnsi="Times New Roman"/>
                <w:color w:val="auto"/>
              </w:rPr>
              <w:t>2）</w:t>
            </w:r>
            <w:r>
              <w:rPr>
                <w:rStyle w:val="47"/>
                <w:rFonts w:hint="default" w:ascii="Times New Roman"/>
                <w:color w:val="auto"/>
              </w:rPr>
              <w:t>废气污染防治措施及可行性分析</w:t>
            </w:r>
          </w:p>
          <w:p>
            <w:pPr>
              <w:pStyle w:val="25"/>
              <w:ind w:firstLine="480"/>
              <w:rPr>
                <w:rStyle w:val="47"/>
                <w:rFonts w:hint="default" w:ascii="Times New Roman" w:hAnsi="Times New Roman"/>
                <w:color w:val="auto"/>
              </w:rPr>
            </w:pPr>
            <w:r>
              <w:rPr>
                <w:rStyle w:val="47"/>
                <w:rFonts w:hint="default"/>
                <w:color w:val="auto"/>
              </w:rPr>
              <w:t>⑴</w:t>
            </w:r>
            <w:r>
              <w:rPr>
                <w:rStyle w:val="47"/>
                <w:rFonts w:hint="default" w:ascii="Times New Roman" w:hAnsi="Times New Roman"/>
                <w:color w:val="auto"/>
              </w:rPr>
              <w:t>粮食初清粉尘</w:t>
            </w:r>
          </w:p>
          <w:p>
            <w:pPr>
              <w:pStyle w:val="25"/>
              <w:ind w:firstLine="480"/>
              <w:rPr>
                <w:rStyle w:val="47"/>
                <w:rFonts w:hint="default" w:ascii="Times New Roman" w:hAnsi="Times New Roman"/>
                <w:color w:val="auto"/>
              </w:rPr>
            </w:pPr>
            <w:r>
              <w:rPr>
                <w:rStyle w:val="47"/>
                <w:rFonts w:hint="default" w:ascii="Times New Roman" w:hAnsi="Times New Roman"/>
                <w:color w:val="auto"/>
              </w:rPr>
              <w:t>项目下料坑、筛分工段设置集气罩，采用移动式清理筛对粮食进行初筛，设备自带除尘系统，可减少粉尘无组织排放量，措施可行。</w:t>
            </w:r>
          </w:p>
          <w:p>
            <w:pPr>
              <w:pStyle w:val="25"/>
              <w:ind w:firstLine="480"/>
              <w:rPr>
                <w:rStyle w:val="47"/>
                <w:rFonts w:hint="default" w:ascii="Times New Roman" w:hAnsi="Times New Roman"/>
                <w:color w:val="auto"/>
              </w:rPr>
            </w:pPr>
            <w:r>
              <w:rPr>
                <w:rStyle w:val="47"/>
                <w:rFonts w:hint="default"/>
                <w:color w:val="auto"/>
              </w:rPr>
              <w:t>⑵</w:t>
            </w:r>
            <w:r>
              <w:rPr>
                <w:rStyle w:val="47"/>
                <w:rFonts w:hint="default" w:ascii="Times New Roman" w:hAnsi="Times New Roman"/>
                <w:color w:val="auto"/>
              </w:rPr>
              <w:t>烘干粉尘</w:t>
            </w:r>
          </w:p>
          <w:p>
            <w:pPr>
              <w:pStyle w:val="25"/>
              <w:ind w:firstLine="480"/>
              <w:rPr>
                <w:rStyle w:val="47"/>
                <w:rFonts w:hint="default" w:ascii="Times New Roman" w:hAnsi="Times New Roman"/>
                <w:color w:val="auto"/>
              </w:rPr>
            </w:pPr>
            <w:r>
              <w:rPr>
                <w:rStyle w:val="47"/>
                <w:rFonts w:hint="default" w:ascii="Times New Roman" w:hAnsi="Times New Roman"/>
                <w:color w:val="auto"/>
              </w:rPr>
              <w:t>重力沉降室主要由室体、进气口、出气口和集灰斗组成。含尘气流进入室体内，因流动截面积的扩大而使气体流速降低，较大尘粒借助自身重力作用自然沉降而被分离捕集下来；适用于捕集密度大、颗粒大（</w:t>
            </w:r>
            <w:r>
              <w:rPr>
                <w:rStyle w:val="46"/>
                <w:color w:val="auto"/>
              </w:rPr>
              <w:t>50</w:t>
            </w:r>
            <w:r>
              <w:rPr>
                <w:rStyle w:val="47"/>
                <w:rFonts w:hint="default" w:ascii="Times New Roman" w:hAnsi="Times New Roman"/>
                <w:color w:val="auto"/>
              </w:rPr>
              <w:t>μ</w:t>
            </w:r>
            <w:r>
              <w:rPr>
                <w:rStyle w:val="46"/>
                <w:color w:val="auto"/>
              </w:rPr>
              <w:t>m</w:t>
            </w:r>
            <w:r>
              <w:rPr>
                <w:rStyle w:val="47"/>
                <w:rFonts w:hint="default" w:ascii="Times New Roman" w:hAnsi="Times New Roman"/>
                <w:color w:val="auto"/>
              </w:rPr>
              <w:t>以上）的粉尘，可处理较高温气体（最高使用温度能达到</w:t>
            </w:r>
            <w:r>
              <w:rPr>
                <w:rStyle w:val="46"/>
                <w:color w:val="auto"/>
              </w:rPr>
              <w:t>350</w:t>
            </w:r>
            <w:r>
              <w:rPr>
                <w:rStyle w:val="47"/>
                <w:rFonts w:hint="default" w:ascii="Times New Roman" w:hAnsi="Times New Roman"/>
                <w:color w:val="auto"/>
              </w:rPr>
              <w:t>～</w:t>
            </w:r>
            <w:r>
              <w:rPr>
                <w:rStyle w:val="46"/>
                <w:color w:val="auto"/>
              </w:rPr>
              <w:t>550</w:t>
            </w:r>
            <w:r>
              <w:rPr>
                <w:rStyle w:val="47"/>
                <w:rFonts w:hint="default"/>
                <w:color w:val="auto"/>
              </w:rPr>
              <w:t>℃</w:t>
            </w:r>
            <w:r>
              <w:rPr>
                <w:rStyle w:val="47"/>
                <w:rFonts w:hint="default" w:ascii="Times New Roman" w:hAnsi="Times New Roman"/>
                <w:color w:val="auto"/>
              </w:rPr>
              <w:t>），除尘效率约</w:t>
            </w:r>
            <w:r>
              <w:rPr>
                <w:rStyle w:val="46"/>
                <w:color w:val="auto"/>
              </w:rPr>
              <w:t>50%</w:t>
            </w:r>
            <w:r>
              <w:rPr>
                <w:rStyle w:val="47"/>
                <w:rFonts w:hint="default" w:ascii="Times New Roman" w:hAnsi="Times New Roman"/>
                <w:color w:val="auto"/>
              </w:rPr>
              <w:t>；加装挡板，一方面为了改变气流</w:t>
            </w:r>
            <w:r>
              <w:rPr>
                <w:rStyle w:val="47"/>
                <w:rFonts w:hint="default" w:ascii="Times New Roman"/>
                <w:color w:val="auto"/>
              </w:rPr>
              <w:t>的运动方向，由于粉尘惯性较大，不能随同气体一起改变方向，撞到挡板上，失去继续飞扬的动能，沉降到下面的灰斗中；另一方面为了延长粉尘的通行路程，使它在重力作用下逐渐沉降下来。通过合理布置档墙、隔板等措施，能在一定程度上提供</w:t>
            </w:r>
            <w:r>
              <w:rPr>
                <w:rStyle w:val="46"/>
                <w:color w:val="auto"/>
              </w:rPr>
              <w:t>10%-15%</w:t>
            </w:r>
            <w:r>
              <w:rPr>
                <w:rStyle w:val="47"/>
                <w:rFonts w:hint="default" w:ascii="Times New Roman"/>
                <w:color w:val="auto"/>
              </w:rPr>
              <w:t>的除尘效率。</w:t>
            </w:r>
          </w:p>
          <w:p>
            <w:pPr>
              <w:pStyle w:val="25"/>
              <w:ind w:firstLine="480"/>
            </w:pPr>
            <w:r>
              <w:rPr>
                <w:rStyle w:val="47"/>
                <w:rFonts w:hint="default" w:ascii="Times New Roman"/>
                <w:color w:val="auto"/>
              </w:rPr>
              <w:t>本项目烘干塔顶设置负压集气罩，用引风机将塔顶潮湿气体和粉尘引向下方，粉尘在管道内进行沉降落到下方灰斗，同时将塔体排潮孔外设置金属防尘挡板，烘干塔内部自带重力沉降室，四周设置防尘挡板，高度与烘干塔高度一致，粉尘受挡板格挡后受重力作用回落到烘干塔底部灰斗中，可有效防止烘干塔粉尘的无组织排放。</w:t>
            </w:r>
          </w:p>
          <w:p>
            <w:pPr>
              <w:pStyle w:val="25"/>
              <w:ind w:firstLine="480"/>
              <w:rPr>
                <w:rStyle w:val="47"/>
                <w:rFonts w:hint="default" w:ascii="Times New Roman" w:hAnsi="Times New Roman"/>
                <w:color w:val="auto"/>
              </w:rPr>
            </w:pPr>
            <w:r>
              <w:rPr>
                <w:rStyle w:val="47"/>
                <w:rFonts w:hint="default"/>
                <w:color w:val="auto"/>
              </w:rPr>
              <w:t>⑶</w:t>
            </w:r>
            <w:r>
              <w:rPr>
                <w:rStyle w:val="47"/>
                <w:rFonts w:hint="default" w:ascii="Times New Roman"/>
                <w:color w:val="auto"/>
              </w:rPr>
              <w:t>生物质热风炉废气</w:t>
            </w:r>
          </w:p>
          <w:p>
            <w:pPr>
              <w:pStyle w:val="25"/>
              <w:ind w:firstLine="480"/>
              <w:rPr>
                <w:rStyle w:val="47"/>
                <w:rFonts w:hint="default" w:ascii="Times New Roman" w:hAnsi="Times New Roman"/>
                <w:color w:val="auto"/>
              </w:rPr>
            </w:pPr>
            <w:r>
              <w:rPr>
                <w:rStyle w:val="47"/>
                <w:rFonts w:hint="default" w:ascii="Times New Roman"/>
                <w:color w:val="auto"/>
              </w:rPr>
              <w:t>布袋除尘器治理措施原理：布袋除尘器稳定、高效，维护简单，运行可靠是大家公认的，它对颗粒</w:t>
            </w:r>
            <w:r>
              <w:rPr>
                <w:rStyle w:val="37"/>
                <w:rFonts w:hint="default" w:ascii="Times New Roman"/>
                <w:color w:val="auto"/>
              </w:rPr>
              <w:t>0.1</w:t>
            </w:r>
            <w:r>
              <w:rPr>
                <w:rStyle w:val="47"/>
                <w:rFonts w:hint="default" w:ascii="Times New Roman"/>
                <w:color w:val="auto"/>
              </w:rPr>
              <w:t>微米含尘气体，除尘效率可高达</w:t>
            </w:r>
            <w:r>
              <w:rPr>
                <w:rStyle w:val="37"/>
                <w:rFonts w:hint="default" w:ascii="Times New Roman"/>
                <w:color w:val="auto"/>
              </w:rPr>
              <w:t>99</w:t>
            </w:r>
            <w:r>
              <w:rPr>
                <w:rStyle w:val="37"/>
                <w:rFonts w:hint="default" w:ascii="Times New Roman" w:eastAsiaTheme="minorEastAsia"/>
                <w:color w:val="auto"/>
              </w:rPr>
              <w:t>.7</w:t>
            </w:r>
            <w:r>
              <w:rPr>
                <w:rStyle w:val="47"/>
                <w:rFonts w:hint="default" w:ascii="Times New Roman"/>
                <w:color w:val="auto"/>
              </w:rPr>
              <w:t>％，本系统后段使用布袋除尘器，捕捉细微烟尘与黑烟等成份。布袋表面能为吸附提供载体，以保证较长的停留时间。布袋除尘器分割为若干风室，通过脉冲阀定时轮流向各风室自动通入高压空气进行反吹，将截留在布袋外表面的粉尘抖落到下部的集灰斗内。利用</w:t>
            </w:r>
            <w:r>
              <w:rPr>
                <w:rStyle w:val="47"/>
                <w:rFonts w:hint="default" w:ascii="Times New Roman" w:hAnsi="Times New Roman"/>
                <w:color w:val="auto"/>
              </w:rPr>
              <w:t>“</w:t>
            </w:r>
            <w:r>
              <w:rPr>
                <w:rStyle w:val="47"/>
                <w:rFonts w:hint="default" w:ascii="Times New Roman"/>
                <w:color w:val="auto"/>
              </w:rPr>
              <w:t>气力抖动</w:t>
            </w:r>
            <w:r>
              <w:rPr>
                <w:rStyle w:val="47"/>
                <w:rFonts w:hint="default" w:ascii="Times New Roman" w:hAnsi="Times New Roman"/>
                <w:color w:val="auto"/>
              </w:rPr>
              <w:t>”</w:t>
            </w:r>
            <w:r>
              <w:rPr>
                <w:rStyle w:val="47"/>
                <w:rFonts w:hint="default" w:ascii="Times New Roman"/>
                <w:color w:val="auto"/>
              </w:rPr>
              <w:t>本系统配套专门针对高浓度烟气及超细微粉尘设计的布袋除尘装置，采用耐高温、耐酸碱性、耐水解性、抗氧化性都很好的特殊过滤材料，对于烟气结露有良好的抵御效果。由于滤袋表面光滑、疏水，高粘性粉尘无法黏附于过滤材料表面，在保证除尘效果的前提下使清灰压力大大降低，同时使过滤材料的使用寿命大大延长，布袋使用寿命大于</w:t>
            </w:r>
            <w:r>
              <w:rPr>
                <w:rStyle w:val="37"/>
                <w:rFonts w:hint="default" w:ascii="Times New Roman"/>
                <w:color w:val="auto"/>
              </w:rPr>
              <w:t>3</w:t>
            </w:r>
            <w:r>
              <w:rPr>
                <w:rStyle w:val="47"/>
                <w:rFonts w:hint="default" w:ascii="Times New Roman"/>
                <w:color w:val="auto"/>
              </w:rPr>
              <w:t>年。</w:t>
            </w:r>
          </w:p>
          <w:p>
            <w:pPr>
              <w:pStyle w:val="25"/>
              <w:ind w:firstLine="480"/>
            </w:pPr>
            <w:r>
              <w:rPr>
                <w:rStyle w:val="47"/>
                <w:rFonts w:hint="default" w:ascii="Times New Roman"/>
                <w:color w:val="auto"/>
              </w:rPr>
              <w:t>本项目国民经济行业类别属于</w:t>
            </w:r>
            <w:r>
              <w:rPr>
                <w:rStyle w:val="37"/>
                <w:rFonts w:hint="default" w:ascii="Times New Roman"/>
                <w:color w:val="auto"/>
              </w:rPr>
              <w:t>D4430</w:t>
            </w:r>
            <w:r>
              <w:rPr>
                <w:rStyle w:val="47"/>
                <w:rFonts w:hint="default" w:ascii="Times New Roman"/>
                <w:color w:val="auto"/>
              </w:rPr>
              <w:t>热力生产和供应，根据《排污许可证申请与核发技术规范 锅炉》（</w:t>
            </w:r>
            <w:r>
              <w:rPr>
                <w:rStyle w:val="37"/>
                <w:rFonts w:hint="default" w:ascii="Times New Roman"/>
                <w:color w:val="auto"/>
              </w:rPr>
              <w:t>HJ953-2018</w:t>
            </w:r>
            <w:r>
              <w:rPr>
                <w:rStyle w:val="47"/>
                <w:rFonts w:hint="default" w:ascii="Times New Roman"/>
                <w:color w:val="auto"/>
              </w:rPr>
              <w:t>）可知，本项目采取的废气处理措施可行。</w:t>
            </w:r>
          </w:p>
          <w:p>
            <w:pPr>
              <w:pStyle w:val="31"/>
              <w:ind w:firstLine="480"/>
              <w:rPr>
                <w:rStyle w:val="47"/>
                <w:rFonts w:hint="default" w:ascii="Times New Roman" w:hAnsi="Times New Roman" w:eastAsiaTheme="minorEastAsia"/>
                <w:color w:val="auto"/>
              </w:rPr>
            </w:pPr>
            <w:r>
              <w:rPr>
                <w:rFonts w:eastAsiaTheme="minorEastAsia"/>
                <w:color w:val="auto"/>
                <w:szCs w:val="21"/>
              </w:rPr>
              <w:t>综上所诉，</w:t>
            </w:r>
            <w:r>
              <w:rPr>
                <w:rStyle w:val="47"/>
                <w:rFonts w:hint="default" w:ascii="Times New Roman" w:hAnsi="Times New Roman" w:eastAsiaTheme="minorEastAsia"/>
                <w:color w:val="auto"/>
              </w:rPr>
              <w:t>本项目运营期产生的废气经采取合理、有效的控制措施后，对周围空气环境质量影响较小。</w:t>
            </w:r>
          </w:p>
          <w:p>
            <w:pPr>
              <w:pStyle w:val="31"/>
              <w:ind w:firstLine="482"/>
              <w:rPr>
                <w:rFonts w:eastAsiaTheme="minorEastAsia"/>
                <w:b/>
                <w:color w:val="auto"/>
                <w:szCs w:val="21"/>
              </w:rPr>
            </w:pPr>
            <w:r>
              <w:rPr>
                <w:rFonts w:eastAsiaTheme="minorEastAsia"/>
                <w:b/>
                <w:color w:val="auto"/>
                <w:szCs w:val="21"/>
              </w:rPr>
              <w:t>2、废水</w:t>
            </w:r>
          </w:p>
          <w:p>
            <w:pPr>
              <w:pStyle w:val="25"/>
              <w:ind w:firstLine="480"/>
            </w:pPr>
            <w:r>
              <w:t>本项目无生产废水产生。</w:t>
            </w:r>
          </w:p>
          <w:p>
            <w:pPr>
              <w:pStyle w:val="25"/>
              <w:ind w:firstLine="480"/>
            </w:pPr>
            <w:r>
              <w:rPr>
                <w:rFonts w:eastAsiaTheme="minorEastAsia"/>
              </w:rPr>
              <w:t>项目劳动定员</w:t>
            </w:r>
            <w:r>
              <w:rPr>
                <w:rFonts w:hint="eastAsia" w:eastAsiaTheme="minorEastAsia"/>
              </w:rPr>
              <w:t>25</w:t>
            </w:r>
            <w:r>
              <w:rPr>
                <w:rFonts w:eastAsiaTheme="minorEastAsia"/>
              </w:rPr>
              <w:t>人，根据《内蒙古自治区行业用水定额标准》（DB15/T385-2019），本项目厂区工作人员用水量按照80L/人/d核算，则生活用水量为</w:t>
            </w:r>
            <w:r>
              <w:rPr>
                <w:rFonts w:hint="eastAsia" w:eastAsiaTheme="minorEastAsia"/>
              </w:rPr>
              <w:t>2.0</w:t>
            </w:r>
            <w:r>
              <w:rPr>
                <w:rFonts w:eastAsiaTheme="minorEastAsia"/>
              </w:rPr>
              <w:t>m</w:t>
            </w:r>
            <w:r>
              <w:rPr>
                <w:rFonts w:eastAsiaTheme="minorEastAsia"/>
                <w:vertAlign w:val="superscript"/>
              </w:rPr>
              <w:t>3</w:t>
            </w:r>
            <w:r>
              <w:rPr>
                <w:rFonts w:eastAsiaTheme="minorEastAsia"/>
              </w:rPr>
              <w:t>/d（</w:t>
            </w:r>
            <w:r>
              <w:rPr>
                <w:rFonts w:hint="eastAsia" w:eastAsiaTheme="minorEastAsia"/>
              </w:rPr>
              <w:t>600</w:t>
            </w:r>
            <w:r>
              <w:rPr>
                <w:rFonts w:eastAsiaTheme="minorEastAsia"/>
              </w:rPr>
              <w:t>m</w:t>
            </w:r>
            <w:r>
              <w:rPr>
                <w:rFonts w:eastAsiaTheme="minorEastAsia"/>
                <w:vertAlign w:val="superscript"/>
              </w:rPr>
              <w:t>3</w:t>
            </w:r>
            <w:r>
              <w:rPr>
                <w:rFonts w:eastAsiaTheme="minorEastAsia"/>
              </w:rPr>
              <w:t>/a）</w:t>
            </w:r>
            <w:r>
              <w:rPr>
                <w:rFonts w:hint="eastAsia"/>
              </w:rPr>
              <w:t>，由厂区自备水井提供。</w:t>
            </w:r>
          </w:p>
          <w:p>
            <w:pPr>
              <w:pStyle w:val="25"/>
              <w:ind w:firstLine="480"/>
            </w:pPr>
            <w:r>
              <w:t>生活污水排放量按照0.8计，则排放量为</w:t>
            </w:r>
            <w:r>
              <w:rPr>
                <w:rFonts w:hint="eastAsia"/>
              </w:rPr>
              <w:t>1.6</w:t>
            </w:r>
            <w:r>
              <w:t>m</w:t>
            </w:r>
            <w:r>
              <w:rPr>
                <w:vertAlign w:val="superscript"/>
              </w:rPr>
              <w:t>3</w:t>
            </w:r>
            <w:r>
              <w:t>/d（</w:t>
            </w:r>
            <w:r>
              <w:rPr>
                <w:rFonts w:hint="eastAsia"/>
              </w:rPr>
              <w:t>480</w:t>
            </w:r>
            <w:r>
              <w:t>m</w:t>
            </w:r>
            <w:r>
              <w:rPr>
                <w:vertAlign w:val="superscript"/>
              </w:rPr>
              <w:t>3</w:t>
            </w:r>
            <w:r>
              <w:t>/a），排入化粪池，定期</w:t>
            </w:r>
            <w:r>
              <w:rPr>
                <w:rFonts w:hint="eastAsia"/>
              </w:rPr>
              <w:t>清掏拉运至</w:t>
            </w:r>
            <w:r>
              <w:rPr>
                <w:rFonts w:hint="eastAsia"/>
                <w:szCs w:val="21"/>
              </w:rPr>
              <w:t>胜丰镇新红村一社农村生活污水处理厂处理</w:t>
            </w:r>
            <w:r>
              <w:t>。</w:t>
            </w:r>
          </w:p>
          <w:p>
            <w:pPr>
              <w:pStyle w:val="39"/>
            </w:pPr>
            <w:r>
              <w:t>表</w:t>
            </w:r>
            <w:r>
              <w:rPr>
                <w:rFonts w:hint="eastAsia"/>
                <w:bCs/>
                <w:szCs w:val="22"/>
              </w:rPr>
              <w:t xml:space="preserve">19   </w:t>
            </w:r>
            <w:r>
              <w:rPr>
                <w:bCs/>
                <w:szCs w:val="22"/>
              </w:rPr>
              <w:t xml:space="preserve"> </w:t>
            </w:r>
            <w:r>
              <w:t>本项目废水产排情况</w:t>
            </w:r>
          </w:p>
          <w:tbl>
            <w:tblPr>
              <w:tblStyle w:val="18"/>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51"/>
              <w:gridCol w:w="915"/>
              <w:gridCol w:w="877"/>
              <w:gridCol w:w="1091"/>
              <w:gridCol w:w="855"/>
              <w:gridCol w:w="605"/>
              <w:gridCol w:w="1091"/>
              <w:gridCol w:w="910"/>
              <w:gridCol w:w="93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768" w:type="dxa"/>
                  <w:vMerge w:val="restart"/>
                  <w:tcBorders>
                    <w:top w:val="single" w:color="auto" w:sz="12" w:space="0"/>
                    <w:left w:val="nil"/>
                    <w:right w:val="single" w:color="auto" w:sz="4" w:space="0"/>
                  </w:tcBorders>
                  <w:vAlign w:val="center"/>
                </w:tcPr>
                <w:p>
                  <w:pPr>
                    <w:pStyle w:val="57"/>
                    <w:rPr>
                      <w:rFonts w:ascii="新宋体" w:hAnsi="新宋体" w:eastAsia="新宋体"/>
                      <w:kern w:val="0"/>
                    </w:rPr>
                  </w:pPr>
                  <w:r>
                    <w:rPr>
                      <w:kern w:val="0"/>
                    </w:rPr>
                    <w:t>废水来源</w:t>
                  </w:r>
                </w:p>
              </w:tc>
              <w:tc>
                <w:tcPr>
                  <w:tcW w:w="916" w:type="dxa"/>
                  <w:vMerge w:val="restart"/>
                  <w:tcBorders>
                    <w:top w:val="single" w:color="auto" w:sz="12" w:space="0"/>
                    <w:left w:val="single" w:color="auto" w:sz="4" w:space="0"/>
                    <w:right w:val="single" w:color="auto" w:sz="4" w:space="0"/>
                  </w:tcBorders>
                  <w:vAlign w:val="center"/>
                </w:tcPr>
                <w:p>
                  <w:pPr>
                    <w:pStyle w:val="57"/>
                    <w:rPr>
                      <w:kern w:val="0"/>
                    </w:rPr>
                  </w:pPr>
                  <w:r>
                    <w:rPr>
                      <w:kern w:val="0"/>
                    </w:rPr>
                    <w:t>废水量</w:t>
                  </w:r>
                </w:p>
              </w:tc>
              <w:tc>
                <w:tcPr>
                  <w:tcW w:w="917" w:type="dxa"/>
                  <w:vMerge w:val="restart"/>
                  <w:tcBorders>
                    <w:top w:val="single" w:color="auto" w:sz="12" w:space="0"/>
                    <w:left w:val="single" w:color="auto" w:sz="4" w:space="0"/>
                    <w:right w:val="single" w:color="auto" w:sz="4" w:space="0"/>
                  </w:tcBorders>
                  <w:vAlign w:val="center"/>
                </w:tcPr>
                <w:p>
                  <w:pPr>
                    <w:pStyle w:val="57"/>
                    <w:rPr>
                      <w:kern w:val="0"/>
                    </w:rPr>
                  </w:pPr>
                  <w:r>
                    <w:rPr>
                      <w:kern w:val="0"/>
                    </w:rPr>
                    <w:t>污染因子</w:t>
                  </w:r>
                </w:p>
              </w:tc>
              <w:tc>
                <w:tcPr>
                  <w:tcW w:w="1950" w:type="dxa"/>
                  <w:gridSpan w:val="2"/>
                  <w:tcBorders>
                    <w:top w:val="single" w:color="auto" w:sz="12" w:space="0"/>
                    <w:left w:val="single" w:color="auto" w:sz="4" w:space="0"/>
                    <w:bottom w:val="single" w:color="auto" w:sz="4" w:space="0"/>
                    <w:right w:val="single" w:color="auto" w:sz="4" w:space="0"/>
                  </w:tcBorders>
                  <w:vAlign w:val="center"/>
                </w:tcPr>
                <w:p>
                  <w:pPr>
                    <w:pStyle w:val="57"/>
                    <w:rPr>
                      <w:kern w:val="0"/>
                    </w:rPr>
                  </w:pPr>
                  <w:r>
                    <w:rPr>
                      <w:kern w:val="0"/>
                    </w:rPr>
                    <w:t>产生情况</w:t>
                  </w:r>
                </w:p>
              </w:tc>
              <w:tc>
                <w:tcPr>
                  <w:tcW w:w="699" w:type="dxa"/>
                  <w:vMerge w:val="restart"/>
                  <w:tcBorders>
                    <w:top w:val="single" w:color="auto" w:sz="12" w:space="0"/>
                    <w:left w:val="single" w:color="auto" w:sz="4" w:space="0"/>
                    <w:right w:val="single" w:color="auto" w:sz="4" w:space="0"/>
                  </w:tcBorders>
                  <w:vAlign w:val="center"/>
                </w:tcPr>
                <w:p>
                  <w:pPr>
                    <w:pStyle w:val="57"/>
                    <w:rPr>
                      <w:kern w:val="0"/>
                    </w:rPr>
                  </w:pPr>
                  <w:r>
                    <w:rPr>
                      <w:kern w:val="0"/>
                    </w:rPr>
                    <w:t>处理</w:t>
                  </w:r>
                  <w:r>
                    <w:rPr>
                      <w:rFonts w:hint="eastAsia"/>
                      <w:kern w:val="0"/>
                    </w:rPr>
                    <w:t>措施</w:t>
                  </w:r>
                </w:p>
              </w:tc>
              <w:tc>
                <w:tcPr>
                  <w:tcW w:w="2035" w:type="dxa"/>
                  <w:gridSpan w:val="2"/>
                  <w:tcBorders>
                    <w:top w:val="single" w:color="auto" w:sz="12" w:space="0"/>
                    <w:left w:val="single" w:color="auto" w:sz="4" w:space="0"/>
                    <w:bottom w:val="single" w:color="auto" w:sz="4" w:space="0"/>
                    <w:right w:val="single" w:color="auto" w:sz="4" w:space="0"/>
                  </w:tcBorders>
                  <w:vAlign w:val="center"/>
                </w:tcPr>
                <w:p>
                  <w:pPr>
                    <w:pStyle w:val="57"/>
                    <w:rPr>
                      <w:kern w:val="0"/>
                    </w:rPr>
                  </w:pPr>
                  <w:r>
                    <w:rPr>
                      <w:kern w:val="0"/>
                    </w:rPr>
                    <w:t>排放情况</w:t>
                  </w:r>
                </w:p>
              </w:tc>
              <w:tc>
                <w:tcPr>
                  <w:tcW w:w="1085" w:type="dxa"/>
                  <w:vMerge w:val="restart"/>
                  <w:tcBorders>
                    <w:top w:val="single" w:color="auto" w:sz="12" w:space="0"/>
                    <w:left w:val="single" w:color="auto" w:sz="4" w:space="0"/>
                    <w:right w:val="nil"/>
                  </w:tcBorders>
                  <w:vAlign w:val="center"/>
                </w:tcPr>
                <w:p>
                  <w:pPr>
                    <w:pStyle w:val="57"/>
                    <w:rPr>
                      <w:rFonts w:ascii="新宋体" w:hAnsi="新宋体" w:eastAsia="新宋体"/>
                      <w:kern w:val="0"/>
                    </w:rPr>
                  </w:pPr>
                  <w:r>
                    <w:rPr>
                      <w:kern w:val="0"/>
                    </w:rPr>
                    <w:t>排放去向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6" w:hRule="atLeast"/>
              </w:trPr>
              <w:tc>
                <w:tcPr>
                  <w:tcW w:w="768" w:type="dxa"/>
                  <w:vMerge w:val="continue"/>
                  <w:tcBorders>
                    <w:left w:val="nil"/>
                    <w:bottom w:val="single" w:color="auto" w:sz="4" w:space="0"/>
                    <w:right w:val="single" w:color="auto" w:sz="4" w:space="0"/>
                  </w:tcBorders>
                  <w:vAlign w:val="center"/>
                </w:tcPr>
                <w:p>
                  <w:pPr>
                    <w:pStyle w:val="57"/>
                    <w:rPr>
                      <w:rFonts w:ascii="新宋体" w:hAnsi="新宋体" w:eastAsia="新宋体"/>
                      <w:kern w:val="0"/>
                    </w:rPr>
                  </w:pPr>
                </w:p>
              </w:tc>
              <w:tc>
                <w:tcPr>
                  <w:tcW w:w="916" w:type="dxa"/>
                  <w:vMerge w:val="continue"/>
                  <w:tcBorders>
                    <w:left w:val="single" w:color="auto" w:sz="4" w:space="0"/>
                    <w:bottom w:val="single" w:color="auto" w:sz="4" w:space="0"/>
                    <w:right w:val="single" w:color="auto" w:sz="4" w:space="0"/>
                  </w:tcBorders>
                  <w:vAlign w:val="center"/>
                </w:tcPr>
                <w:p>
                  <w:pPr>
                    <w:pStyle w:val="57"/>
                    <w:rPr>
                      <w:kern w:val="0"/>
                    </w:rPr>
                  </w:pPr>
                </w:p>
              </w:tc>
              <w:tc>
                <w:tcPr>
                  <w:tcW w:w="917" w:type="dxa"/>
                  <w:vMerge w:val="continue"/>
                  <w:tcBorders>
                    <w:left w:val="single" w:color="auto" w:sz="4" w:space="0"/>
                    <w:bottom w:val="single" w:color="auto" w:sz="4" w:space="0"/>
                    <w:right w:val="single" w:color="auto" w:sz="4" w:space="0"/>
                  </w:tcBorders>
                  <w:vAlign w:val="center"/>
                </w:tcPr>
                <w:p>
                  <w:pPr>
                    <w:pStyle w:val="57"/>
                    <w:rPr>
                      <w:kern w:val="0"/>
                    </w:rPr>
                  </w:pPr>
                </w:p>
              </w:tc>
              <w:tc>
                <w:tcPr>
                  <w:tcW w:w="1091" w:type="dxa"/>
                  <w:tcBorders>
                    <w:top w:val="single" w:color="auto" w:sz="4" w:space="0"/>
                    <w:left w:val="single" w:color="auto" w:sz="4" w:space="0"/>
                    <w:bottom w:val="single" w:color="auto" w:sz="4" w:space="0"/>
                    <w:right w:val="single" w:color="auto" w:sz="4" w:space="0"/>
                  </w:tcBorders>
                  <w:vAlign w:val="center"/>
                </w:tcPr>
                <w:p>
                  <w:pPr>
                    <w:pStyle w:val="57"/>
                    <w:rPr>
                      <w:kern w:val="0"/>
                    </w:rPr>
                  </w:pPr>
                  <w:r>
                    <w:rPr>
                      <w:kern w:val="0"/>
                    </w:rPr>
                    <w:t>产生浓度（</w:t>
                  </w:r>
                  <w:r>
                    <w:rPr>
                      <w:bCs/>
                      <w:kern w:val="0"/>
                      <w:szCs w:val="22"/>
                    </w:rPr>
                    <w:t>mg/L</w:t>
                  </w:r>
                  <w:r>
                    <w:rPr>
                      <w:kern w:val="0"/>
                    </w:rPr>
                    <w:t>）</w:t>
                  </w:r>
                </w:p>
              </w:tc>
              <w:tc>
                <w:tcPr>
                  <w:tcW w:w="859" w:type="dxa"/>
                  <w:tcBorders>
                    <w:top w:val="single" w:color="auto" w:sz="4" w:space="0"/>
                    <w:left w:val="single" w:color="auto" w:sz="4" w:space="0"/>
                    <w:bottom w:val="single" w:color="auto" w:sz="4" w:space="0"/>
                    <w:right w:val="single" w:color="auto" w:sz="4" w:space="0"/>
                  </w:tcBorders>
                  <w:vAlign w:val="center"/>
                </w:tcPr>
                <w:p>
                  <w:pPr>
                    <w:pStyle w:val="57"/>
                    <w:rPr>
                      <w:kern w:val="0"/>
                    </w:rPr>
                  </w:pPr>
                  <w:r>
                    <w:rPr>
                      <w:kern w:val="0"/>
                    </w:rPr>
                    <w:t>产生量（</w:t>
                  </w:r>
                  <w:r>
                    <w:rPr>
                      <w:bCs/>
                      <w:kern w:val="0"/>
                      <w:szCs w:val="22"/>
                    </w:rPr>
                    <w:t>t/a</w:t>
                  </w:r>
                  <w:r>
                    <w:rPr>
                      <w:kern w:val="0"/>
                    </w:rPr>
                    <w:t>）</w:t>
                  </w:r>
                </w:p>
              </w:tc>
              <w:tc>
                <w:tcPr>
                  <w:tcW w:w="699" w:type="dxa"/>
                  <w:vMerge w:val="continue"/>
                  <w:tcBorders>
                    <w:left w:val="single" w:color="auto" w:sz="4" w:space="0"/>
                    <w:bottom w:val="single" w:color="auto" w:sz="4" w:space="0"/>
                    <w:right w:val="single" w:color="auto" w:sz="4" w:space="0"/>
                  </w:tcBorders>
                  <w:vAlign w:val="center"/>
                </w:tcPr>
                <w:p>
                  <w:pPr>
                    <w:pStyle w:val="57"/>
                    <w:rPr>
                      <w:kern w:val="0"/>
                    </w:rPr>
                  </w:pPr>
                </w:p>
              </w:tc>
              <w:tc>
                <w:tcPr>
                  <w:tcW w:w="1091" w:type="dxa"/>
                  <w:tcBorders>
                    <w:top w:val="single" w:color="auto" w:sz="4" w:space="0"/>
                    <w:left w:val="single" w:color="auto" w:sz="4" w:space="0"/>
                    <w:bottom w:val="single" w:color="auto" w:sz="4" w:space="0"/>
                    <w:right w:val="single" w:color="auto" w:sz="4" w:space="0"/>
                  </w:tcBorders>
                  <w:vAlign w:val="center"/>
                </w:tcPr>
                <w:p>
                  <w:pPr>
                    <w:pStyle w:val="57"/>
                    <w:rPr>
                      <w:kern w:val="0"/>
                    </w:rPr>
                  </w:pPr>
                  <w:r>
                    <w:rPr>
                      <w:kern w:val="0"/>
                    </w:rPr>
                    <w:t>排放浓度（</w:t>
                  </w:r>
                  <w:r>
                    <w:rPr>
                      <w:bCs/>
                      <w:kern w:val="0"/>
                      <w:szCs w:val="22"/>
                    </w:rPr>
                    <w:t>mg/L</w:t>
                  </w:r>
                  <w:r>
                    <w:rPr>
                      <w:kern w:val="0"/>
                    </w:rPr>
                    <w:t>）</w:t>
                  </w:r>
                </w:p>
              </w:tc>
              <w:tc>
                <w:tcPr>
                  <w:tcW w:w="944" w:type="dxa"/>
                  <w:tcBorders>
                    <w:top w:val="single" w:color="auto" w:sz="4" w:space="0"/>
                    <w:left w:val="single" w:color="auto" w:sz="4" w:space="0"/>
                    <w:bottom w:val="single" w:color="auto" w:sz="4" w:space="0"/>
                    <w:right w:val="single" w:color="auto" w:sz="4" w:space="0"/>
                  </w:tcBorders>
                  <w:vAlign w:val="center"/>
                </w:tcPr>
                <w:p>
                  <w:pPr>
                    <w:pStyle w:val="57"/>
                    <w:rPr>
                      <w:kern w:val="0"/>
                    </w:rPr>
                  </w:pPr>
                  <w:r>
                    <w:rPr>
                      <w:kern w:val="0"/>
                    </w:rPr>
                    <w:t>排放量（</w:t>
                  </w:r>
                  <w:r>
                    <w:rPr>
                      <w:bCs/>
                      <w:kern w:val="0"/>
                      <w:szCs w:val="22"/>
                    </w:rPr>
                    <w:t>t/a</w:t>
                  </w:r>
                  <w:r>
                    <w:rPr>
                      <w:kern w:val="0"/>
                    </w:rPr>
                    <w:t>）</w:t>
                  </w:r>
                </w:p>
              </w:tc>
              <w:tc>
                <w:tcPr>
                  <w:tcW w:w="1085" w:type="dxa"/>
                  <w:vMerge w:val="continue"/>
                  <w:tcBorders>
                    <w:left w:val="single" w:color="auto" w:sz="4" w:space="0"/>
                    <w:bottom w:val="single" w:color="auto" w:sz="4" w:space="0"/>
                    <w:right w:val="nil"/>
                  </w:tcBorders>
                  <w:vAlign w:val="center"/>
                </w:tcPr>
                <w:p>
                  <w:pPr>
                    <w:pStyle w:val="57"/>
                    <w:rPr>
                      <w:kern w:val="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68" w:type="dxa"/>
                  <w:vMerge w:val="restart"/>
                  <w:tcBorders>
                    <w:top w:val="single" w:color="auto" w:sz="4" w:space="0"/>
                    <w:left w:val="nil"/>
                    <w:right w:val="single" w:color="auto" w:sz="4" w:space="0"/>
                  </w:tcBorders>
                  <w:vAlign w:val="center"/>
                </w:tcPr>
                <w:p>
                  <w:pPr>
                    <w:pStyle w:val="57"/>
                    <w:rPr>
                      <w:kern w:val="0"/>
                      <w:sz w:val="24"/>
                    </w:rPr>
                  </w:pPr>
                  <w:r>
                    <w:rPr>
                      <w:rFonts w:ascii="新宋体" w:hAnsi="新宋体" w:eastAsia="新宋体"/>
                      <w:kern w:val="0"/>
                    </w:rPr>
                    <w:t>生活污水</w:t>
                  </w:r>
                </w:p>
              </w:tc>
              <w:tc>
                <w:tcPr>
                  <w:tcW w:w="916" w:type="dxa"/>
                  <w:vMerge w:val="restart"/>
                  <w:tcBorders>
                    <w:top w:val="single" w:color="auto" w:sz="4" w:space="0"/>
                    <w:left w:val="single" w:color="auto" w:sz="4" w:space="0"/>
                    <w:right w:val="single" w:color="auto" w:sz="4" w:space="0"/>
                  </w:tcBorders>
                  <w:vAlign w:val="center"/>
                </w:tcPr>
                <w:p>
                  <w:pPr>
                    <w:pStyle w:val="57"/>
                    <w:rPr>
                      <w:kern w:val="0"/>
                      <w:sz w:val="24"/>
                    </w:rPr>
                  </w:pPr>
                  <w:r>
                    <w:rPr>
                      <w:rFonts w:hint="eastAsia"/>
                      <w:kern w:val="0"/>
                    </w:rPr>
                    <w:t>480m</w:t>
                  </w:r>
                  <w:r>
                    <w:rPr>
                      <w:rFonts w:hint="eastAsia"/>
                      <w:kern w:val="0"/>
                      <w:vertAlign w:val="superscript"/>
                    </w:rPr>
                    <w:t>3</w:t>
                  </w:r>
                  <w:r>
                    <w:rPr>
                      <w:kern w:val="0"/>
                    </w:rPr>
                    <w:t>/a</w:t>
                  </w:r>
                </w:p>
              </w:tc>
              <w:tc>
                <w:tcPr>
                  <w:tcW w:w="917" w:type="dxa"/>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kern w:val="0"/>
                    </w:rPr>
                    <w:t>COD</w:t>
                  </w:r>
                  <w:r>
                    <w:rPr>
                      <w:kern w:val="0"/>
                      <w:sz w:val="14"/>
                    </w:rPr>
                    <w:t>Cr</w:t>
                  </w:r>
                </w:p>
              </w:tc>
              <w:tc>
                <w:tcPr>
                  <w:tcW w:w="1091" w:type="dxa"/>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rFonts w:hint="eastAsia"/>
                      <w:kern w:val="0"/>
                    </w:rPr>
                    <w:t>4</w:t>
                  </w:r>
                  <w:r>
                    <w:rPr>
                      <w:kern w:val="0"/>
                    </w:rPr>
                    <w:t>00</w:t>
                  </w:r>
                </w:p>
              </w:tc>
              <w:tc>
                <w:tcPr>
                  <w:tcW w:w="859" w:type="dxa"/>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kern w:val="0"/>
                    </w:rPr>
                    <w:t>0.</w:t>
                  </w:r>
                  <w:r>
                    <w:rPr>
                      <w:rFonts w:hint="eastAsia"/>
                      <w:kern w:val="0"/>
                    </w:rPr>
                    <w:t>192</w:t>
                  </w:r>
                </w:p>
              </w:tc>
              <w:tc>
                <w:tcPr>
                  <w:tcW w:w="699" w:type="dxa"/>
                  <w:vMerge w:val="restart"/>
                  <w:tcBorders>
                    <w:top w:val="single" w:color="auto" w:sz="4" w:space="0"/>
                    <w:left w:val="single" w:color="auto" w:sz="4" w:space="0"/>
                    <w:right w:val="single" w:color="auto" w:sz="4" w:space="0"/>
                  </w:tcBorders>
                  <w:vAlign w:val="center"/>
                </w:tcPr>
                <w:p>
                  <w:pPr>
                    <w:pStyle w:val="57"/>
                    <w:rPr>
                      <w:kern w:val="0"/>
                      <w:szCs w:val="21"/>
                    </w:rPr>
                  </w:pPr>
                  <w:r>
                    <w:rPr>
                      <w:rFonts w:hint="eastAsia"/>
                      <w:kern w:val="0"/>
                      <w:szCs w:val="21"/>
                    </w:rPr>
                    <w:t>化粪池</w:t>
                  </w:r>
                </w:p>
              </w:tc>
              <w:tc>
                <w:tcPr>
                  <w:tcW w:w="1091" w:type="dxa"/>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rFonts w:hint="eastAsia"/>
                      <w:kern w:val="0"/>
                    </w:rPr>
                    <w:t>340</w:t>
                  </w:r>
                </w:p>
              </w:tc>
              <w:tc>
                <w:tcPr>
                  <w:tcW w:w="944" w:type="dxa"/>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kern w:val="0"/>
                    </w:rPr>
                    <w:t>0.</w:t>
                  </w:r>
                  <w:r>
                    <w:rPr>
                      <w:rFonts w:hint="eastAsia"/>
                      <w:kern w:val="0"/>
                    </w:rPr>
                    <w:t>163</w:t>
                  </w:r>
                </w:p>
              </w:tc>
              <w:tc>
                <w:tcPr>
                  <w:tcW w:w="1085" w:type="dxa"/>
                  <w:vMerge w:val="restart"/>
                  <w:tcBorders>
                    <w:top w:val="single" w:color="auto" w:sz="4" w:space="0"/>
                    <w:left w:val="single" w:color="auto" w:sz="4" w:space="0"/>
                    <w:right w:val="nil"/>
                  </w:tcBorders>
                  <w:vAlign w:val="center"/>
                </w:tcPr>
                <w:p>
                  <w:pPr>
                    <w:pStyle w:val="57"/>
                    <w:jc w:val="both"/>
                    <w:rPr>
                      <w:kern w:val="0"/>
                      <w:sz w:val="24"/>
                    </w:rPr>
                  </w:pPr>
                  <w:r>
                    <w:rPr>
                      <w:rFonts w:ascii="新宋体" w:hAnsi="新宋体" w:eastAsia="新宋体"/>
                      <w:kern w:val="0"/>
                    </w:rPr>
                    <w:t>排入化粪池，定期用污水车拉送至</w:t>
                  </w:r>
                  <w:r>
                    <w:rPr>
                      <w:rFonts w:hint="eastAsia"/>
                      <w:szCs w:val="21"/>
                    </w:rPr>
                    <w:t>胜丰镇新红村一社农村生活污水处理厂</w:t>
                  </w:r>
                  <w:r>
                    <w:rPr>
                      <w:rFonts w:ascii="新宋体" w:hAnsi="新宋体" w:eastAsia="新宋体"/>
                      <w:kern w:val="0"/>
                    </w:rPr>
                    <w:t>进行处理。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68" w:type="dxa"/>
                  <w:vMerge w:val="continue"/>
                  <w:tcBorders>
                    <w:left w:val="nil"/>
                    <w:right w:val="single" w:color="auto" w:sz="4" w:space="0"/>
                  </w:tcBorders>
                  <w:vAlign w:val="center"/>
                </w:tcPr>
                <w:p>
                  <w:pPr>
                    <w:pStyle w:val="57"/>
                    <w:rPr>
                      <w:kern w:val="0"/>
                      <w:sz w:val="24"/>
                    </w:rPr>
                  </w:pPr>
                </w:p>
              </w:tc>
              <w:tc>
                <w:tcPr>
                  <w:tcW w:w="916" w:type="dxa"/>
                  <w:vMerge w:val="continue"/>
                  <w:tcBorders>
                    <w:left w:val="single" w:color="auto" w:sz="4" w:space="0"/>
                    <w:right w:val="single" w:color="auto" w:sz="4" w:space="0"/>
                  </w:tcBorders>
                  <w:vAlign w:val="center"/>
                </w:tcPr>
                <w:p>
                  <w:pPr>
                    <w:pStyle w:val="57"/>
                    <w:rPr>
                      <w:kern w:val="0"/>
                      <w:sz w:val="24"/>
                    </w:rPr>
                  </w:pPr>
                </w:p>
              </w:tc>
              <w:tc>
                <w:tcPr>
                  <w:tcW w:w="917" w:type="dxa"/>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kern w:val="0"/>
                    </w:rPr>
                    <w:t>BOD</w:t>
                  </w:r>
                  <w:r>
                    <w:rPr>
                      <w:kern w:val="0"/>
                      <w:sz w:val="14"/>
                    </w:rPr>
                    <w:t>5</w:t>
                  </w:r>
                </w:p>
              </w:tc>
              <w:tc>
                <w:tcPr>
                  <w:tcW w:w="1091" w:type="dxa"/>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kern w:val="0"/>
                    </w:rPr>
                    <w:t>250</w:t>
                  </w:r>
                </w:p>
              </w:tc>
              <w:tc>
                <w:tcPr>
                  <w:tcW w:w="859" w:type="dxa"/>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kern w:val="0"/>
                    </w:rPr>
                    <w:t>0.</w:t>
                  </w:r>
                  <w:r>
                    <w:rPr>
                      <w:rFonts w:hint="eastAsia"/>
                      <w:kern w:val="0"/>
                    </w:rPr>
                    <w:t>12</w:t>
                  </w:r>
                </w:p>
              </w:tc>
              <w:tc>
                <w:tcPr>
                  <w:tcW w:w="699" w:type="dxa"/>
                  <w:vMerge w:val="continue"/>
                  <w:tcBorders>
                    <w:left w:val="single" w:color="auto" w:sz="4" w:space="0"/>
                    <w:right w:val="single" w:color="auto" w:sz="4" w:space="0"/>
                  </w:tcBorders>
                  <w:vAlign w:val="center"/>
                </w:tcPr>
                <w:p>
                  <w:pPr>
                    <w:pStyle w:val="57"/>
                    <w:rPr>
                      <w:kern w:val="0"/>
                      <w:sz w:val="24"/>
                    </w:rPr>
                  </w:pPr>
                </w:p>
              </w:tc>
              <w:tc>
                <w:tcPr>
                  <w:tcW w:w="1091" w:type="dxa"/>
                  <w:vAlign w:val="center"/>
                </w:tcPr>
                <w:p>
                  <w:pPr>
                    <w:pStyle w:val="57"/>
                    <w:rPr>
                      <w:kern w:val="0"/>
                      <w:sz w:val="24"/>
                    </w:rPr>
                  </w:pPr>
                  <w:r>
                    <w:rPr>
                      <w:rFonts w:hint="eastAsia"/>
                      <w:kern w:val="0"/>
                    </w:rPr>
                    <w:t>180</w:t>
                  </w:r>
                </w:p>
              </w:tc>
              <w:tc>
                <w:tcPr>
                  <w:tcW w:w="944" w:type="dxa"/>
                  <w:tcBorders>
                    <w:right w:val="single" w:color="auto" w:sz="4" w:space="0"/>
                  </w:tcBorders>
                  <w:vAlign w:val="center"/>
                </w:tcPr>
                <w:p>
                  <w:pPr>
                    <w:pStyle w:val="57"/>
                    <w:rPr>
                      <w:kern w:val="0"/>
                      <w:sz w:val="24"/>
                    </w:rPr>
                  </w:pPr>
                  <w:r>
                    <w:rPr>
                      <w:kern w:val="0"/>
                    </w:rPr>
                    <w:t>0.0</w:t>
                  </w:r>
                  <w:r>
                    <w:rPr>
                      <w:rFonts w:hint="eastAsia"/>
                      <w:kern w:val="0"/>
                    </w:rPr>
                    <w:t>8</w:t>
                  </w:r>
                  <w:r>
                    <w:rPr>
                      <w:kern w:val="0"/>
                    </w:rPr>
                    <w:t>6</w:t>
                  </w:r>
                </w:p>
              </w:tc>
              <w:tc>
                <w:tcPr>
                  <w:tcW w:w="1085" w:type="dxa"/>
                  <w:vMerge w:val="continue"/>
                  <w:tcBorders>
                    <w:left w:val="single" w:color="auto" w:sz="4" w:space="0"/>
                    <w:right w:val="nil"/>
                  </w:tcBorders>
                  <w:vAlign w:val="center"/>
                </w:tcPr>
                <w:p>
                  <w:pPr>
                    <w:pStyle w:val="57"/>
                    <w:rPr>
                      <w:rFonts w:eastAsia="Times New Roman"/>
                      <w:kern w:val="0"/>
                      <w:sz w:val="20"/>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68" w:type="dxa"/>
                  <w:vMerge w:val="continue"/>
                  <w:tcBorders>
                    <w:left w:val="nil"/>
                    <w:right w:val="single" w:color="auto" w:sz="4" w:space="0"/>
                  </w:tcBorders>
                  <w:vAlign w:val="center"/>
                </w:tcPr>
                <w:p>
                  <w:pPr>
                    <w:pStyle w:val="57"/>
                    <w:rPr>
                      <w:kern w:val="0"/>
                      <w:sz w:val="24"/>
                    </w:rPr>
                  </w:pPr>
                </w:p>
              </w:tc>
              <w:tc>
                <w:tcPr>
                  <w:tcW w:w="916" w:type="dxa"/>
                  <w:vMerge w:val="continue"/>
                  <w:tcBorders>
                    <w:left w:val="single" w:color="auto" w:sz="4" w:space="0"/>
                    <w:right w:val="single" w:color="auto" w:sz="4" w:space="0"/>
                  </w:tcBorders>
                  <w:vAlign w:val="center"/>
                </w:tcPr>
                <w:p>
                  <w:pPr>
                    <w:pStyle w:val="57"/>
                    <w:rPr>
                      <w:kern w:val="0"/>
                      <w:sz w:val="24"/>
                    </w:rPr>
                  </w:pPr>
                </w:p>
              </w:tc>
              <w:tc>
                <w:tcPr>
                  <w:tcW w:w="917" w:type="dxa"/>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kern w:val="0"/>
                    </w:rPr>
                    <w:t>SS</w:t>
                  </w:r>
                </w:p>
              </w:tc>
              <w:tc>
                <w:tcPr>
                  <w:tcW w:w="1091" w:type="dxa"/>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rFonts w:hint="eastAsia"/>
                      <w:kern w:val="0"/>
                    </w:rPr>
                    <w:t>25</w:t>
                  </w:r>
                  <w:r>
                    <w:rPr>
                      <w:kern w:val="0"/>
                    </w:rPr>
                    <w:t>0</w:t>
                  </w:r>
                </w:p>
              </w:tc>
              <w:tc>
                <w:tcPr>
                  <w:tcW w:w="859" w:type="dxa"/>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kern w:val="0"/>
                    </w:rPr>
                    <w:t>0.</w:t>
                  </w:r>
                  <w:r>
                    <w:rPr>
                      <w:rFonts w:hint="eastAsia"/>
                      <w:kern w:val="0"/>
                    </w:rPr>
                    <w:t>12</w:t>
                  </w:r>
                </w:p>
              </w:tc>
              <w:tc>
                <w:tcPr>
                  <w:tcW w:w="699" w:type="dxa"/>
                  <w:vMerge w:val="continue"/>
                  <w:tcBorders>
                    <w:left w:val="single" w:color="auto" w:sz="4" w:space="0"/>
                    <w:right w:val="single" w:color="auto" w:sz="4" w:space="0"/>
                  </w:tcBorders>
                  <w:vAlign w:val="center"/>
                </w:tcPr>
                <w:p>
                  <w:pPr>
                    <w:pStyle w:val="57"/>
                    <w:rPr>
                      <w:kern w:val="0"/>
                      <w:sz w:val="24"/>
                    </w:rPr>
                  </w:pPr>
                </w:p>
              </w:tc>
              <w:tc>
                <w:tcPr>
                  <w:tcW w:w="1091" w:type="dxa"/>
                  <w:vAlign w:val="center"/>
                </w:tcPr>
                <w:p>
                  <w:pPr>
                    <w:pStyle w:val="57"/>
                    <w:rPr>
                      <w:kern w:val="0"/>
                      <w:sz w:val="24"/>
                    </w:rPr>
                  </w:pPr>
                  <w:r>
                    <w:rPr>
                      <w:kern w:val="0"/>
                    </w:rPr>
                    <w:t>1</w:t>
                  </w:r>
                  <w:r>
                    <w:rPr>
                      <w:rFonts w:hint="eastAsia"/>
                      <w:kern w:val="0"/>
                    </w:rPr>
                    <w:t>75</w:t>
                  </w:r>
                </w:p>
              </w:tc>
              <w:tc>
                <w:tcPr>
                  <w:tcW w:w="944" w:type="dxa"/>
                  <w:tcBorders>
                    <w:right w:val="single" w:color="auto" w:sz="4" w:space="0"/>
                  </w:tcBorders>
                  <w:vAlign w:val="center"/>
                </w:tcPr>
                <w:p>
                  <w:pPr>
                    <w:pStyle w:val="57"/>
                    <w:rPr>
                      <w:kern w:val="0"/>
                      <w:sz w:val="24"/>
                    </w:rPr>
                  </w:pPr>
                  <w:r>
                    <w:rPr>
                      <w:kern w:val="0"/>
                    </w:rPr>
                    <w:t>0.0</w:t>
                  </w:r>
                  <w:r>
                    <w:rPr>
                      <w:rFonts w:hint="eastAsia"/>
                      <w:kern w:val="0"/>
                    </w:rPr>
                    <w:t>84</w:t>
                  </w:r>
                </w:p>
              </w:tc>
              <w:tc>
                <w:tcPr>
                  <w:tcW w:w="1085" w:type="dxa"/>
                  <w:vMerge w:val="continue"/>
                  <w:tcBorders>
                    <w:left w:val="single" w:color="auto" w:sz="4" w:space="0"/>
                    <w:right w:val="nil"/>
                  </w:tcBorders>
                  <w:vAlign w:val="center"/>
                </w:tcPr>
                <w:p>
                  <w:pPr>
                    <w:pStyle w:val="57"/>
                    <w:rPr>
                      <w:rFonts w:eastAsia="Times New Roman"/>
                      <w:kern w:val="0"/>
                      <w:sz w:val="20"/>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68" w:type="dxa"/>
                  <w:vMerge w:val="continue"/>
                  <w:tcBorders>
                    <w:left w:val="nil"/>
                    <w:right w:val="single" w:color="auto" w:sz="4" w:space="0"/>
                  </w:tcBorders>
                  <w:vAlign w:val="center"/>
                </w:tcPr>
                <w:p>
                  <w:pPr>
                    <w:pStyle w:val="57"/>
                    <w:rPr>
                      <w:kern w:val="0"/>
                      <w:sz w:val="24"/>
                    </w:rPr>
                  </w:pPr>
                </w:p>
              </w:tc>
              <w:tc>
                <w:tcPr>
                  <w:tcW w:w="916" w:type="dxa"/>
                  <w:vMerge w:val="continue"/>
                  <w:tcBorders>
                    <w:left w:val="single" w:color="auto" w:sz="4" w:space="0"/>
                    <w:right w:val="single" w:color="auto" w:sz="4" w:space="0"/>
                  </w:tcBorders>
                  <w:vAlign w:val="center"/>
                </w:tcPr>
                <w:p>
                  <w:pPr>
                    <w:pStyle w:val="57"/>
                    <w:rPr>
                      <w:kern w:val="0"/>
                      <w:sz w:val="24"/>
                    </w:rPr>
                  </w:pPr>
                </w:p>
              </w:tc>
              <w:tc>
                <w:tcPr>
                  <w:tcW w:w="917" w:type="dxa"/>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rFonts w:ascii="新宋体" w:hAnsi="新宋体" w:eastAsia="新宋体"/>
                      <w:kern w:val="0"/>
                    </w:rPr>
                    <w:t>氨氮</w:t>
                  </w:r>
                </w:p>
              </w:tc>
              <w:tc>
                <w:tcPr>
                  <w:tcW w:w="1091" w:type="dxa"/>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rFonts w:hint="eastAsia"/>
                      <w:kern w:val="0"/>
                    </w:rPr>
                    <w:t>30</w:t>
                  </w:r>
                </w:p>
              </w:tc>
              <w:tc>
                <w:tcPr>
                  <w:tcW w:w="859" w:type="dxa"/>
                  <w:tcBorders>
                    <w:top w:val="single" w:color="auto" w:sz="4" w:space="0"/>
                    <w:left w:val="single" w:color="auto" w:sz="4" w:space="0"/>
                    <w:bottom w:val="single" w:color="auto" w:sz="4" w:space="0"/>
                    <w:right w:val="single" w:color="auto" w:sz="4" w:space="0"/>
                  </w:tcBorders>
                  <w:vAlign w:val="center"/>
                </w:tcPr>
                <w:p>
                  <w:pPr>
                    <w:pStyle w:val="57"/>
                    <w:rPr>
                      <w:kern w:val="0"/>
                      <w:sz w:val="24"/>
                    </w:rPr>
                  </w:pPr>
                  <w:r>
                    <w:rPr>
                      <w:kern w:val="0"/>
                    </w:rPr>
                    <w:t>0.0</w:t>
                  </w:r>
                  <w:r>
                    <w:rPr>
                      <w:rFonts w:hint="eastAsia"/>
                      <w:kern w:val="0"/>
                    </w:rPr>
                    <w:t>14</w:t>
                  </w:r>
                </w:p>
              </w:tc>
              <w:tc>
                <w:tcPr>
                  <w:tcW w:w="699" w:type="dxa"/>
                  <w:vMerge w:val="continue"/>
                  <w:tcBorders>
                    <w:left w:val="single" w:color="auto" w:sz="4" w:space="0"/>
                    <w:right w:val="single" w:color="auto" w:sz="4" w:space="0"/>
                  </w:tcBorders>
                  <w:vAlign w:val="center"/>
                </w:tcPr>
                <w:p>
                  <w:pPr>
                    <w:pStyle w:val="57"/>
                    <w:rPr>
                      <w:kern w:val="0"/>
                      <w:sz w:val="24"/>
                    </w:rPr>
                  </w:pPr>
                </w:p>
              </w:tc>
              <w:tc>
                <w:tcPr>
                  <w:tcW w:w="1091" w:type="dxa"/>
                  <w:vAlign w:val="center"/>
                </w:tcPr>
                <w:p>
                  <w:pPr>
                    <w:pStyle w:val="57"/>
                    <w:rPr>
                      <w:kern w:val="0"/>
                      <w:sz w:val="24"/>
                    </w:rPr>
                  </w:pPr>
                  <w:r>
                    <w:rPr>
                      <w:rFonts w:hint="eastAsia"/>
                      <w:kern w:val="0"/>
                    </w:rPr>
                    <w:t>29.1</w:t>
                  </w:r>
                </w:p>
              </w:tc>
              <w:tc>
                <w:tcPr>
                  <w:tcW w:w="944" w:type="dxa"/>
                  <w:tcBorders>
                    <w:right w:val="single" w:color="auto" w:sz="4" w:space="0"/>
                  </w:tcBorders>
                  <w:vAlign w:val="center"/>
                </w:tcPr>
                <w:p>
                  <w:pPr>
                    <w:pStyle w:val="57"/>
                    <w:rPr>
                      <w:kern w:val="0"/>
                      <w:sz w:val="24"/>
                    </w:rPr>
                  </w:pPr>
                  <w:r>
                    <w:rPr>
                      <w:kern w:val="0"/>
                    </w:rPr>
                    <w:t>0.0</w:t>
                  </w:r>
                  <w:r>
                    <w:rPr>
                      <w:rFonts w:hint="eastAsia"/>
                      <w:kern w:val="0"/>
                    </w:rPr>
                    <w:t>14</w:t>
                  </w:r>
                </w:p>
              </w:tc>
              <w:tc>
                <w:tcPr>
                  <w:tcW w:w="1085" w:type="dxa"/>
                  <w:vMerge w:val="continue"/>
                  <w:tcBorders>
                    <w:left w:val="single" w:color="auto" w:sz="4" w:space="0"/>
                    <w:right w:val="nil"/>
                  </w:tcBorders>
                  <w:vAlign w:val="center"/>
                </w:tcPr>
                <w:p>
                  <w:pPr>
                    <w:pStyle w:val="57"/>
                    <w:rPr>
                      <w:rFonts w:eastAsia="Times New Roman"/>
                      <w:kern w:val="0"/>
                      <w:sz w:val="20"/>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68" w:type="dxa"/>
                  <w:vMerge w:val="continue"/>
                  <w:tcBorders>
                    <w:left w:val="nil"/>
                    <w:bottom w:val="single" w:color="auto" w:sz="12" w:space="0"/>
                    <w:right w:val="single" w:color="auto" w:sz="4" w:space="0"/>
                  </w:tcBorders>
                  <w:vAlign w:val="center"/>
                </w:tcPr>
                <w:p>
                  <w:pPr>
                    <w:pStyle w:val="57"/>
                    <w:rPr>
                      <w:kern w:val="0"/>
                      <w:sz w:val="24"/>
                    </w:rPr>
                  </w:pPr>
                </w:p>
              </w:tc>
              <w:tc>
                <w:tcPr>
                  <w:tcW w:w="916" w:type="dxa"/>
                  <w:vMerge w:val="continue"/>
                  <w:tcBorders>
                    <w:left w:val="single" w:color="auto" w:sz="4" w:space="0"/>
                    <w:bottom w:val="single" w:color="auto" w:sz="12" w:space="0"/>
                    <w:right w:val="single" w:color="auto" w:sz="4" w:space="0"/>
                  </w:tcBorders>
                  <w:vAlign w:val="center"/>
                </w:tcPr>
                <w:p>
                  <w:pPr>
                    <w:pStyle w:val="57"/>
                    <w:rPr>
                      <w:kern w:val="0"/>
                      <w:sz w:val="24"/>
                    </w:rPr>
                  </w:pPr>
                </w:p>
              </w:tc>
              <w:tc>
                <w:tcPr>
                  <w:tcW w:w="917" w:type="dxa"/>
                  <w:tcBorders>
                    <w:top w:val="single" w:color="auto" w:sz="4" w:space="0"/>
                    <w:left w:val="single" w:color="auto" w:sz="4" w:space="0"/>
                    <w:bottom w:val="single" w:color="auto" w:sz="12" w:space="0"/>
                    <w:right w:val="single" w:color="auto" w:sz="4" w:space="0"/>
                  </w:tcBorders>
                  <w:vAlign w:val="center"/>
                </w:tcPr>
                <w:p>
                  <w:pPr>
                    <w:pStyle w:val="57"/>
                    <w:rPr>
                      <w:rFonts w:ascii="新宋体" w:hAnsi="新宋体" w:eastAsia="新宋体"/>
                      <w:kern w:val="0"/>
                    </w:rPr>
                  </w:pPr>
                  <w:r>
                    <w:rPr>
                      <w:rFonts w:hint="eastAsia" w:ascii="新宋体" w:hAnsi="新宋体" w:eastAsia="新宋体"/>
                      <w:kern w:val="0"/>
                    </w:rPr>
                    <w:t>动植物油</w:t>
                  </w:r>
                </w:p>
              </w:tc>
              <w:tc>
                <w:tcPr>
                  <w:tcW w:w="1091" w:type="dxa"/>
                  <w:tcBorders>
                    <w:top w:val="single" w:color="auto" w:sz="4" w:space="0"/>
                    <w:left w:val="single" w:color="auto" w:sz="4" w:space="0"/>
                    <w:bottom w:val="single" w:color="auto" w:sz="12" w:space="0"/>
                    <w:right w:val="single" w:color="auto" w:sz="4" w:space="0"/>
                  </w:tcBorders>
                  <w:vAlign w:val="center"/>
                </w:tcPr>
                <w:p>
                  <w:pPr>
                    <w:pStyle w:val="57"/>
                    <w:rPr>
                      <w:kern w:val="0"/>
                    </w:rPr>
                  </w:pPr>
                  <w:r>
                    <w:rPr>
                      <w:rFonts w:hint="eastAsia"/>
                      <w:kern w:val="0"/>
                    </w:rPr>
                    <w:t>30</w:t>
                  </w:r>
                </w:p>
              </w:tc>
              <w:tc>
                <w:tcPr>
                  <w:tcW w:w="859" w:type="dxa"/>
                  <w:tcBorders>
                    <w:top w:val="single" w:color="auto" w:sz="4" w:space="0"/>
                    <w:left w:val="single" w:color="auto" w:sz="4" w:space="0"/>
                    <w:bottom w:val="single" w:color="auto" w:sz="12" w:space="0"/>
                    <w:right w:val="single" w:color="auto" w:sz="4" w:space="0"/>
                  </w:tcBorders>
                  <w:vAlign w:val="center"/>
                </w:tcPr>
                <w:p>
                  <w:pPr>
                    <w:pStyle w:val="57"/>
                    <w:rPr>
                      <w:kern w:val="0"/>
                    </w:rPr>
                  </w:pPr>
                  <w:r>
                    <w:rPr>
                      <w:rFonts w:hint="eastAsia"/>
                      <w:kern w:val="0"/>
                    </w:rPr>
                    <w:t>0.014</w:t>
                  </w:r>
                </w:p>
              </w:tc>
              <w:tc>
                <w:tcPr>
                  <w:tcW w:w="699" w:type="dxa"/>
                  <w:vMerge w:val="continue"/>
                  <w:tcBorders>
                    <w:left w:val="single" w:color="auto" w:sz="4" w:space="0"/>
                    <w:bottom w:val="single" w:color="auto" w:sz="12" w:space="0"/>
                    <w:right w:val="single" w:color="auto" w:sz="4" w:space="0"/>
                  </w:tcBorders>
                  <w:vAlign w:val="center"/>
                </w:tcPr>
                <w:p>
                  <w:pPr>
                    <w:pStyle w:val="57"/>
                    <w:rPr>
                      <w:kern w:val="0"/>
                    </w:rPr>
                  </w:pPr>
                </w:p>
              </w:tc>
              <w:tc>
                <w:tcPr>
                  <w:tcW w:w="1091" w:type="dxa"/>
                  <w:tcBorders>
                    <w:bottom w:val="single" w:color="auto" w:sz="12" w:space="0"/>
                  </w:tcBorders>
                  <w:vAlign w:val="center"/>
                </w:tcPr>
                <w:p>
                  <w:pPr>
                    <w:pStyle w:val="57"/>
                    <w:rPr>
                      <w:kern w:val="0"/>
                    </w:rPr>
                  </w:pPr>
                  <w:r>
                    <w:rPr>
                      <w:rFonts w:hint="eastAsia"/>
                      <w:kern w:val="0"/>
                    </w:rPr>
                    <w:t>28.5</w:t>
                  </w:r>
                </w:p>
              </w:tc>
              <w:tc>
                <w:tcPr>
                  <w:tcW w:w="944" w:type="dxa"/>
                  <w:tcBorders>
                    <w:bottom w:val="single" w:color="auto" w:sz="12" w:space="0"/>
                    <w:right w:val="single" w:color="auto" w:sz="4" w:space="0"/>
                  </w:tcBorders>
                  <w:vAlign w:val="center"/>
                </w:tcPr>
                <w:p>
                  <w:pPr>
                    <w:pStyle w:val="57"/>
                    <w:rPr>
                      <w:kern w:val="0"/>
                    </w:rPr>
                  </w:pPr>
                  <w:r>
                    <w:rPr>
                      <w:rFonts w:hint="eastAsia"/>
                      <w:kern w:val="0"/>
                    </w:rPr>
                    <w:t>0.014</w:t>
                  </w:r>
                </w:p>
              </w:tc>
              <w:tc>
                <w:tcPr>
                  <w:tcW w:w="1085" w:type="dxa"/>
                  <w:vMerge w:val="continue"/>
                  <w:tcBorders>
                    <w:left w:val="single" w:color="auto" w:sz="4" w:space="0"/>
                    <w:bottom w:val="single" w:color="auto" w:sz="12" w:space="0"/>
                    <w:right w:val="nil"/>
                  </w:tcBorders>
                  <w:vAlign w:val="center"/>
                </w:tcPr>
                <w:p>
                  <w:pPr>
                    <w:pStyle w:val="57"/>
                    <w:rPr>
                      <w:rFonts w:eastAsiaTheme="minorEastAsia"/>
                      <w:kern w:val="0"/>
                      <w:sz w:val="20"/>
                      <w:szCs w:val="20"/>
                    </w:rPr>
                  </w:pPr>
                </w:p>
              </w:tc>
            </w:tr>
          </w:tbl>
          <w:p>
            <w:pPr>
              <w:pStyle w:val="25"/>
              <w:ind w:firstLine="480"/>
              <w:rPr>
                <w:rStyle w:val="47"/>
                <w:rFonts w:hint="default" w:ascii="Times New Roman" w:hAnsi="Times New Roman" w:eastAsiaTheme="minorEastAsia"/>
                <w:color w:val="auto"/>
              </w:rPr>
            </w:pPr>
          </w:p>
          <w:p>
            <w:pPr>
              <w:pStyle w:val="31"/>
              <w:ind w:firstLine="482"/>
              <w:rPr>
                <w:rFonts w:eastAsiaTheme="minorEastAsia"/>
                <w:b/>
                <w:color w:val="auto"/>
              </w:rPr>
            </w:pPr>
            <w:r>
              <w:rPr>
                <w:rFonts w:eastAsiaTheme="minorEastAsia"/>
                <w:b/>
                <w:color w:val="auto"/>
              </w:rPr>
              <w:t>3、噪声</w:t>
            </w:r>
          </w:p>
          <w:p>
            <w:pPr>
              <w:pStyle w:val="31"/>
              <w:ind w:firstLine="480"/>
              <w:rPr>
                <w:rFonts w:eastAsiaTheme="minorEastAsia"/>
                <w:color w:val="auto"/>
              </w:rPr>
            </w:pPr>
            <w:r>
              <w:rPr>
                <w:rFonts w:eastAsiaTheme="minorEastAsia"/>
                <w:color w:val="auto"/>
                <w:kern w:val="2"/>
              </w:rPr>
              <w:t>营运期的噪声主要为设备噪声，主要有各类泵等机械设备噪声及空气动力性噪声等，其噪声级一般在70~</w:t>
            </w:r>
            <w:r>
              <w:rPr>
                <w:rFonts w:hint="eastAsia" w:eastAsiaTheme="minorEastAsia"/>
                <w:color w:val="auto"/>
                <w:kern w:val="2"/>
              </w:rPr>
              <w:t>8</w:t>
            </w:r>
            <w:r>
              <w:rPr>
                <w:rFonts w:eastAsiaTheme="minorEastAsia"/>
                <w:color w:val="auto"/>
                <w:kern w:val="2"/>
              </w:rPr>
              <w:t>5dB（A）左右，通过对产噪设施的合理布局、安装消声器、隔声罩、基础减振、选用低噪声设备等来削弱噪声的产生</w:t>
            </w:r>
            <w:r>
              <w:rPr>
                <w:rFonts w:eastAsiaTheme="minorEastAsia"/>
                <w:color w:val="auto"/>
              </w:rPr>
              <w:t>。</w:t>
            </w:r>
          </w:p>
          <w:p>
            <w:pPr>
              <w:pStyle w:val="39"/>
              <w:rPr>
                <w:rFonts w:eastAsiaTheme="minorEastAsia"/>
              </w:rPr>
            </w:pPr>
            <w:r>
              <w:rPr>
                <w:rFonts w:eastAsiaTheme="minorEastAsia"/>
              </w:rPr>
              <w:t>表</w:t>
            </w:r>
            <w:r>
              <w:rPr>
                <w:rFonts w:hint="eastAsia" w:eastAsiaTheme="minorEastAsia"/>
              </w:rPr>
              <w:t>20</w:t>
            </w:r>
            <w:r>
              <w:rPr>
                <w:rFonts w:eastAsiaTheme="minorEastAsia"/>
              </w:rPr>
              <w:t xml:space="preserve">    本项目噪声产排情况一览表</w:t>
            </w:r>
          </w:p>
          <w:tbl>
            <w:tblPr>
              <w:tblStyle w:val="18"/>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513"/>
              <w:gridCol w:w="1209"/>
              <w:gridCol w:w="924"/>
              <w:gridCol w:w="924"/>
              <w:gridCol w:w="793"/>
              <w:gridCol w:w="1718"/>
              <w:gridCol w:w="926"/>
              <w:gridCol w:w="93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323" w:type="pct"/>
                  <w:vAlign w:val="center"/>
                </w:tcPr>
                <w:p>
                  <w:pPr>
                    <w:pStyle w:val="60"/>
                    <w:rPr>
                      <w:rFonts w:eastAsiaTheme="minorEastAsia"/>
                    </w:rPr>
                  </w:pPr>
                  <w:r>
                    <w:rPr>
                      <w:rFonts w:eastAsiaTheme="minorEastAsia"/>
                    </w:rPr>
                    <w:t>序号</w:t>
                  </w:r>
                </w:p>
              </w:tc>
              <w:tc>
                <w:tcPr>
                  <w:tcW w:w="761" w:type="pct"/>
                  <w:vAlign w:val="center"/>
                </w:tcPr>
                <w:p>
                  <w:pPr>
                    <w:pStyle w:val="60"/>
                    <w:rPr>
                      <w:rFonts w:eastAsiaTheme="minorEastAsia"/>
                    </w:rPr>
                  </w:pPr>
                  <w:r>
                    <w:rPr>
                      <w:rFonts w:eastAsiaTheme="minorEastAsia"/>
                    </w:rPr>
                    <w:t>污染源</w:t>
                  </w:r>
                </w:p>
              </w:tc>
              <w:tc>
                <w:tcPr>
                  <w:tcW w:w="582" w:type="pct"/>
                </w:tcPr>
                <w:p>
                  <w:pPr>
                    <w:pStyle w:val="60"/>
                    <w:rPr>
                      <w:rFonts w:eastAsiaTheme="minorEastAsia"/>
                    </w:rPr>
                  </w:pPr>
                  <w:r>
                    <w:rPr>
                      <w:rFonts w:eastAsiaTheme="minorEastAsia"/>
                    </w:rPr>
                    <w:t>数量</w:t>
                  </w:r>
                </w:p>
              </w:tc>
              <w:tc>
                <w:tcPr>
                  <w:tcW w:w="582" w:type="pct"/>
                  <w:vAlign w:val="center"/>
                </w:tcPr>
                <w:p>
                  <w:pPr>
                    <w:pStyle w:val="60"/>
                    <w:rPr>
                      <w:rFonts w:eastAsiaTheme="minorEastAsia"/>
                    </w:rPr>
                  </w:pPr>
                  <w:r>
                    <w:rPr>
                      <w:rFonts w:eastAsiaTheme="minorEastAsia"/>
                    </w:rPr>
                    <w:t>产生源强</w:t>
                  </w:r>
                </w:p>
                <w:p>
                  <w:pPr>
                    <w:pStyle w:val="60"/>
                    <w:rPr>
                      <w:rFonts w:eastAsiaTheme="minorEastAsia"/>
                    </w:rPr>
                  </w:pPr>
                  <w:r>
                    <w:rPr>
                      <w:rFonts w:eastAsiaTheme="minorEastAsia"/>
                    </w:rPr>
                    <w:t>dB(A)</w:t>
                  </w:r>
                </w:p>
              </w:tc>
              <w:tc>
                <w:tcPr>
                  <w:tcW w:w="499" w:type="pct"/>
                  <w:vAlign w:val="center"/>
                </w:tcPr>
                <w:p>
                  <w:pPr>
                    <w:pStyle w:val="60"/>
                    <w:rPr>
                      <w:rFonts w:eastAsiaTheme="minorEastAsia"/>
                    </w:rPr>
                  </w:pPr>
                  <w:r>
                    <w:rPr>
                      <w:rFonts w:eastAsiaTheme="minorEastAsia"/>
                    </w:rPr>
                    <w:t>声源</w:t>
                  </w:r>
                </w:p>
                <w:p>
                  <w:pPr>
                    <w:pStyle w:val="60"/>
                    <w:rPr>
                      <w:rFonts w:eastAsiaTheme="minorEastAsia"/>
                    </w:rPr>
                  </w:pPr>
                  <w:r>
                    <w:rPr>
                      <w:rFonts w:eastAsiaTheme="minorEastAsia"/>
                    </w:rPr>
                    <w:t>种类</w:t>
                  </w:r>
                </w:p>
              </w:tc>
              <w:tc>
                <w:tcPr>
                  <w:tcW w:w="1082" w:type="pct"/>
                  <w:vAlign w:val="center"/>
                </w:tcPr>
                <w:p>
                  <w:pPr>
                    <w:pStyle w:val="60"/>
                    <w:rPr>
                      <w:rFonts w:eastAsiaTheme="minorEastAsia"/>
                    </w:rPr>
                  </w:pPr>
                  <w:r>
                    <w:rPr>
                      <w:rFonts w:eastAsiaTheme="minorEastAsia"/>
                    </w:rPr>
                    <w:t>治理措施</w:t>
                  </w:r>
                </w:p>
              </w:tc>
              <w:tc>
                <w:tcPr>
                  <w:tcW w:w="583" w:type="pct"/>
                  <w:vAlign w:val="center"/>
                </w:tcPr>
                <w:p>
                  <w:pPr>
                    <w:pStyle w:val="60"/>
                    <w:rPr>
                      <w:rFonts w:eastAsiaTheme="minorEastAsia"/>
                    </w:rPr>
                  </w:pPr>
                  <w:r>
                    <w:rPr>
                      <w:rFonts w:eastAsiaTheme="minorEastAsia"/>
                    </w:rPr>
                    <w:t>治理效果</w:t>
                  </w:r>
                </w:p>
              </w:tc>
              <w:tc>
                <w:tcPr>
                  <w:tcW w:w="588" w:type="pct"/>
                  <w:vAlign w:val="center"/>
                </w:tcPr>
                <w:p>
                  <w:pPr>
                    <w:pStyle w:val="60"/>
                    <w:rPr>
                      <w:rFonts w:eastAsiaTheme="minorEastAsia"/>
                    </w:rPr>
                  </w:pPr>
                  <w:r>
                    <w:rPr>
                      <w:rFonts w:eastAsiaTheme="minorEastAsia"/>
                    </w:rPr>
                    <w:t>排放源强</w:t>
                  </w:r>
                </w:p>
                <w:p>
                  <w:pPr>
                    <w:pStyle w:val="60"/>
                    <w:rPr>
                      <w:rFonts w:eastAsiaTheme="minorEastAsia"/>
                    </w:rPr>
                  </w:pPr>
                  <w:r>
                    <w:rPr>
                      <w:rFonts w:eastAsiaTheme="minorEastAsia"/>
                    </w:rPr>
                    <w:t>dB(A)</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323" w:type="pct"/>
                  <w:vAlign w:val="center"/>
                </w:tcPr>
                <w:p>
                  <w:pPr>
                    <w:pStyle w:val="57"/>
                    <w:rPr>
                      <w:rFonts w:eastAsiaTheme="minorEastAsia"/>
                      <w:szCs w:val="21"/>
                    </w:rPr>
                  </w:pPr>
                  <w:r>
                    <w:rPr>
                      <w:rFonts w:eastAsiaTheme="minorEastAsia"/>
                      <w:szCs w:val="21"/>
                    </w:rPr>
                    <w:t>1</w:t>
                  </w:r>
                </w:p>
              </w:tc>
              <w:tc>
                <w:tcPr>
                  <w:tcW w:w="761" w:type="pct"/>
                  <w:vAlign w:val="center"/>
                </w:tcPr>
                <w:p>
                  <w:pPr>
                    <w:pStyle w:val="57"/>
                    <w:rPr>
                      <w:szCs w:val="21"/>
                    </w:rPr>
                  </w:pPr>
                  <w:r>
                    <w:rPr>
                      <w:kern w:val="0"/>
                      <w:szCs w:val="21"/>
                    </w:rPr>
                    <w:t>移动式卸粮机</w:t>
                  </w:r>
                </w:p>
              </w:tc>
              <w:tc>
                <w:tcPr>
                  <w:tcW w:w="582" w:type="pct"/>
                  <w:vAlign w:val="center"/>
                </w:tcPr>
                <w:p>
                  <w:pPr>
                    <w:pStyle w:val="57"/>
                    <w:rPr>
                      <w:szCs w:val="21"/>
                    </w:rPr>
                  </w:pPr>
                  <w:r>
                    <w:rPr>
                      <w:kern w:val="0"/>
                      <w:szCs w:val="21"/>
                    </w:rPr>
                    <w:t>2</w:t>
                  </w:r>
                </w:p>
              </w:tc>
              <w:tc>
                <w:tcPr>
                  <w:tcW w:w="582" w:type="pct"/>
                  <w:vAlign w:val="center"/>
                </w:tcPr>
                <w:p>
                  <w:pPr>
                    <w:pStyle w:val="60"/>
                    <w:rPr>
                      <w:rFonts w:eastAsiaTheme="minorEastAsia"/>
                    </w:rPr>
                  </w:pPr>
                  <w:r>
                    <w:rPr>
                      <w:rFonts w:hint="eastAsia" w:eastAsiaTheme="minorEastAsia"/>
                    </w:rPr>
                    <w:t>7</w:t>
                  </w:r>
                  <w:r>
                    <w:rPr>
                      <w:rFonts w:eastAsiaTheme="minorEastAsia"/>
                    </w:rPr>
                    <w:t>0</w:t>
                  </w:r>
                </w:p>
              </w:tc>
              <w:tc>
                <w:tcPr>
                  <w:tcW w:w="499" w:type="pct"/>
                  <w:vAlign w:val="center"/>
                </w:tcPr>
                <w:p>
                  <w:pPr>
                    <w:pStyle w:val="60"/>
                    <w:rPr>
                      <w:rFonts w:eastAsiaTheme="minorEastAsia"/>
                    </w:rPr>
                  </w:pPr>
                  <w:r>
                    <w:rPr>
                      <w:rFonts w:eastAsiaTheme="minorEastAsia"/>
                    </w:rPr>
                    <w:t>点源</w:t>
                  </w:r>
                </w:p>
              </w:tc>
              <w:tc>
                <w:tcPr>
                  <w:tcW w:w="1082" w:type="pct"/>
                  <w:vAlign w:val="center"/>
                </w:tcPr>
                <w:p>
                  <w:pPr>
                    <w:pStyle w:val="60"/>
                    <w:rPr>
                      <w:rFonts w:eastAsiaTheme="minorEastAsia"/>
                    </w:rPr>
                  </w:pPr>
                  <w:r>
                    <w:rPr>
                      <w:rFonts w:eastAsiaTheme="minorEastAsia"/>
                    </w:rPr>
                    <w:t>减振垫</w:t>
                  </w:r>
                </w:p>
              </w:tc>
              <w:tc>
                <w:tcPr>
                  <w:tcW w:w="583" w:type="pct"/>
                  <w:vAlign w:val="center"/>
                </w:tcPr>
                <w:p>
                  <w:pPr>
                    <w:pStyle w:val="60"/>
                    <w:rPr>
                      <w:rFonts w:eastAsiaTheme="minorEastAsia"/>
                    </w:rPr>
                  </w:pPr>
                  <w:r>
                    <w:rPr>
                      <w:rFonts w:eastAsiaTheme="minorEastAsia"/>
                    </w:rPr>
                    <w:t>-15</w:t>
                  </w:r>
                </w:p>
              </w:tc>
              <w:tc>
                <w:tcPr>
                  <w:tcW w:w="588" w:type="pct"/>
                  <w:vAlign w:val="center"/>
                </w:tcPr>
                <w:p>
                  <w:pPr>
                    <w:pStyle w:val="60"/>
                    <w:rPr>
                      <w:rFonts w:eastAsiaTheme="minorEastAsia"/>
                    </w:rPr>
                  </w:pPr>
                  <w:r>
                    <w:rPr>
                      <w:rFonts w:hint="eastAsia" w:eastAsiaTheme="minorEastAsia"/>
                    </w:rPr>
                    <w:t>55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323" w:type="pct"/>
                  <w:vAlign w:val="center"/>
                </w:tcPr>
                <w:p>
                  <w:pPr>
                    <w:pStyle w:val="57"/>
                    <w:rPr>
                      <w:rFonts w:eastAsiaTheme="minorEastAsia"/>
                      <w:szCs w:val="21"/>
                    </w:rPr>
                  </w:pPr>
                  <w:r>
                    <w:rPr>
                      <w:rFonts w:eastAsiaTheme="minorEastAsia"/>
                      <w:szCs w:val="21"/>
                    </w:rPr>
                    <w:t>2</w:t>
                  </w:r>
                </w:p>
              </w:tc>
              <w:tc>
                <w:tcPr>
                  <w:tcW w:w="761" w:type="pct"/>
                  <w:vAlign w:val="center"/>
                </w:tcPr>
                <w:p>
                  <w:pPr>
                    <w:pStyle w:val="57"/>
                    <w:rPr>
                      <w:szCs w:val="21"/>
                    </w:rPr>
                  </w:pPr>
                  <w:r>
                    <w:rPr>
                      <w:rFonts w:hAnsi="宋体"/>
                      <w:kern w:val="0"/>
                      <w:szCs w:val="21"/>
                    </w:rPr>
                    <w:t>磁选器</w:t>
                  </w:r>
                </w:p>
              </w:tc>
              <w:tc>
                <w:tcPr>
                  <w:tcW w:w="582" w:type="pct"/>
                  <w:vAlign w:val="center"/>
                </w:tcPr>
                <w:p>
                  <w:pPr>
                    <w:pStyle w:val="57"/>
                    <w:rPr>
                      <w:szCs w:val="21"/>
                    </w:rPr>
                  </w:pPr>
                  <w:r>
                    <w:rPr>
                      <w:kern w:val="0"/>
                      <w:szCs w:val="21"/>
                    </w:rPr>
                    <w:t>1</w:t>
                  </w:r>
                </w:p>
              </w:tc>
              <w:tc>
                <w:tcPr>
                  <w:tcW w:w="582" w:type="pct"/>
                  <w:vAlign w:val="center"/>
                </w:tcPr>
                <w:p>
                  <w:pPr>
                    <w:pStyle w:val="60"/>
                    <w:rPr>
                      <w:rFonts w:eastAsiaTheme="minorEastAsia"/>
                    </w:rPr>
                  </w:pPr>
                  <w:r>
                    <w:rPr>
                      <w:rFonts w:eastAsiaTheme="minorEastAsia"/>
                    </w:rPr>
                    <w:t>85</w:t>
                  </w:r>
                </w:p>
              </w:tc>
              <w:tc>
                <w:tcPr>
                  <w:tcW w:w="499" w:type="pct"/>
                  <w:vAlign w:val="center"/>
                </w:tcPr>
                <w:p>
                  <w:pPr>
                    <w:pStyle w:val="60"/>
                    <w:rPr>
                      <w:rFonts w:eastAsiaTheme="minorEastAsia"/>
                    </w:rPr>
                  </w:pPr>
                  <w:r>
                    <w:rPr>
                      <w:rFonts w:eastAsiaTheme="minorEastAsia"/>
                    </w:rPr>
                    <w:t>点源</w:t>
                  </w:r>
                </w:p>
              </w:tc>
              <w:tc>
                <w:tcPr>
                  <w:tcW w:w="1082" w:type="pct"/>
                  <w:vAlign w:val="center"/>
                </w:tcPr>
                <w:p>
                  <w:pPr>
                    <w:pStyle w:val="60"/>
                    <w:rPr>
                      <w:rFonts w:eastAsiaTheme="minorEastAsia"/>
                    </w:rPr>
                  </w:pPr>
                  <w:r>
                    <w:rPr>
                      <w:rFonts w:eastAsiaTheme="minorEastAsia"/>
                    </w:rPr>
                    <w:t>隔音+减振垫</w:t>
                  </w:r>
                </w:p>
              </w:tc>
              <w:tc>
                <w:tcPr>
                  <w:tcW w:w="583" w:type="pct"/>
                  <w:vAlign w:val="center"/>
                </w:tcPr>
                <w:p>
                  <w:pPr>
                    <w:pStyle w:val="60"/>
                    <w:rPr>
                      <w:rFonts w:eastAsiaTheme="minorEastAsia"/>
                    </w:rPr>
                  </w:pPr>
                  <w:r>
                    <w:rPr>
                      <w:rFonts w:eastAsiaTheme="minorEastAsia"/>
                    </w:rPr>
                    <w:t>-15</w:t>
                  </w:r>
                </w:p>
              </w:tc>
              <w:tc>
                <w:tcPr>
                  <w:tcW w:w="588" w:type="pct"/>
                  <w:vAlign w:val="center"/>
                </w:tcPr>
                <w:p>
                  <w:pPr>
                    <w:pStyle w:val="60"/>
                    <w:rPr>
                      <w:rFonts w:eastAsiaTheme="minorEastAsia"/>
                    </w:rPr>
                  </w:pPr>
                  <w:r>
                    <w:rPr>
                      <w:rFonts w:eastAsiaTheme="minorEastAsia"/>
                    </w:rPr>
                    <w:t>70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323" w:type="pct"/>
                  <w:vAlign w:val="center"/>
                </w:tcPr>
                <w:p>
                  <w:pPr>
                    <w:pStyle w:val="57"/>
                    <w:rPr>
                      <w:rFonts w:eastAsiaTheme="minorEastAsia"/>
                      <w:szCs w:val="21"/>
                    </w:rPr>
                  </w:pPr>
                  <w:r>
                    <w:rPr>
                      <w:rFonts w:eastAsiaTheme="minorEastAsia"/>
                      <w:szCs w:val="21"/>
                    </w:rPr>
                    <w:t>3</w:t>
                  </w:r>
                </w:p>
              </w:tc>
              <w:tc>
                <w:tcPr>
                  <w:tcW w:w="761" w:type="pct"/>
                  <w:vAlign w:val="center"/>
                </w:tcPr>
                <w:p>
                  <w:pPr>
                    <w:pStyle w:val="57"/>
                    <w:rPr>
                      <w:szCs w:val="21"/>
                    </w:rPr>
                  </w:pPr>
                  <w:r>
                    <w:rPr>
                      <w:rFonts w:hAnsi="宋体"/>
                      <w:kern w:val="0"/>
                      <w:szCs w:val="21"/>
                    </w:rPr>
                    <w:t>斗式提升机</w:t>
                  </w:r>
                </w:p>
              </w:tc>
              <w:tc>
                <w:tcPr>
                  <w:tcW w:w="582" w:type="pct"/>
                  <w:vAlign w:val="center"/>
                </w:tcPr>
                <w:p>
                  <w:pPr>
                    <w:pStyle w:val="57"/>
                    <w:rPr>
                      <w:szCs w:val="21"/>
                    </w:rPr>
                  </w:pPr>
                  <w:r>
                    <w:rPr>
                      <w:rFonts w:hint="eastAsia"/>
                      <w:kern w:val="0"/>
                      <w:szCs w:val="21"/>
                    </w:rPr>
                    <w:t>3</w:t>
                  </w:r>
                </w:p>
              </w:tc>
              <w:tc>
                <w:tcPr>
                  <w:tcW w:w="582" w:type="pct"/>
                  <w:vAlign w:val="center"/>
                </w:tcPr>
                <w:p>
                  <w:pPr>
                    <w:pStyle w:val="60"/>
                    <w:rPr>
                      <w:rFonts w:eastAsiaTheme="minorEastAsia"/>
                    </w:rPr>
                  </w:pPr>
                  <w:r>
                    <w:rPr>
                      <w:rFonts w:hint="eastAsia" w:eastAsiaTheme="minorEastAsia"/>
                    </w:rPr>
                    <w:t>7</w:t>
                  </w:r>
                  <w:r>
                    <w:rPr>
                      <w:rFonts w:eastAsiaTheme="minorEastAsia"/>
                    </w:rPr>
                    <w:t>5</w:t>
                  </w:r>
                </w:p>
              </w:tc>
              <w:tc>
                <w:tcPr>
                  <w:tcW w:w="499" w:type="pct"/>
                  <w:vAlign w:val="center"/>
                </w:tcPr>
                <w:p>
                  <w:pPr>
                    <w:pStyle w:val="60"/>
                    <w:rPr>
                      <w:rFonts w:eastAsiaTheme="minorEastAsia"/>
                    </w:rPr>
                  </w:pPr>
                  <w:r>
                    <w:rPr>
                      <w:rFonts w:eastAsiaTheme="minorEastAsia"/>
                    </w:rPr>
                    <w:t>点源</w:t>
                  </w:r>
                </w:p>
              </w:tc>
              <w:tc>
                <w:tcPr>
                  <w:tcW w:w="1082" w:type="pct"/>
                  <w:vAlign w:val="center"/>
                </w:tcPr>
                <w:p>
                  <w:pPr>
                    <w:pStyle w:val="60"/>
                    <w:rPr>
                      <w:rFonts w:eastAsiaTheme="minorEastAsia"/>
                    </w:rPr>
                  </w:pPr>
                  <w:r>
                    <w:rPr>
                      <w:rFonts w:eastAsiaTheme="minorEastAsia"/>
                    </w:rPr>
                    <w:t>隔音+减振垫</w:t>
                  </w:r>
                </w:p>
              </w:tc>
              <w:tc>
                <w:tcPr>
                  <w:tcW w:w="583" w:type="pct"/>
                  <w:vAlign w:val="center"/>
                </w:tcPr>
                <w:p>
                  <w:pPr>
                    <w:pStyle w:val="60"/>
                    <w:rPr>
                      <w:rFonts w:eastAsiaTheme="minorEastAsia"/>
                    </w:rPr>
                  </w:pPr>
                  <w:r>
                    <w:rPr>
                      <w:rFonts w:eastAsiaTheme="minorEastAsia"/>
                    </w:rPr>
                    <w:t>-15</w:t>
                  </w:r>
                </w:p>
              </w:tc>
              <w:tc>
                <w:tcPr>
                  <w:tcW w:w="588" w:type="pct"/>
                  <w:vAlign w:val="center"/>
                </w:tcPr>
                <w:p>
                  <w:pPr>
                    <w:pStyle w:val="60"/>
                    <w:rPr>
                      <w:rFonts w:eastAsiaTheme="minorEastAsia"/>
                    </w:rPr>
                  </w:pPr>
                  <w:r>
                    <w:rPr>
                      <w:rFonts w:hint="eastAsia" w:eastAsiaTheme="minorEastAsia"/>
                    </w:rPr>
                    <w:t>55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323" w:type="pct"/>
                  <w:vAlign w:val="center"/>
                </w:tcPr>
                <w:p>
                  <w:pPr>
                    <w:pStyle w:val="57"/>
                    <w:rPr>
                      <w:rFonts w:eastAsiaTheme="minorEastAsia"/>
                      <w:szCs w:val="21"/>
                    </w:rPr>
                  </w:pPr>
                  <w:r>
                    <w:rPr>
                      <w:rFonts w:hint="eastAsia" w:eastAsiaTheme="minorEastAsia"/>
                      <w:szCs w:val="21"/>
                    </w:rPr>
                    <w:t>4</w:t>
                  </w:r>
                </w:p>
              </w:tc>
              <w:tc>
                <w:tcPr>
                  <w:tcW w:w="761" w:type="pct"/>
                  <w:vAlign w:val="center"/>
                </w:tcPr>
                <w:p>
                  <w:pPr>
                    <w:pStyle w:val="57"/>
                    <w:rPr>
                      <w:szCs w:val="21"/>
                    </w:rPr>
                  </w:pPr>
                  <w:r>
                    <w:rPr>
                      <w:rFonts w:hAnsi="宋体"/>
                      <w:kern w:val="0"/>
                      <w:szCs w:val="21"/>
                    </w:rPr>
                    <w:t>原粮初清筛</w:t>
                  </w:r>
                </w:p>
              </w:tc>
              <w:tc>
                <w:tcPr>
                  <w:tcW w:w="582" w:type="pct"/>
                  <w:vAlign w:val="center"/>
                </w:tcPr>
                <w:p>
                  <w:pPr>
                    <w:pStyle w:val="57"/>
                    <w:rPr>
                      <w:szCs w:val="21"/>
                    </w:rPr>
                  </w:pPr>
                  <w:r>
                    <w:rPr>
                      <w:kern w:val="0"/>
                      <w:szCs w:val="21"/>
                    </w:rPr>
                    <w:t>1</w:t>
                  </w:r>
                </w:p>
              </w:tc>
              <w:tc>
                <w:tcPr>
                  <w:tcW w:w="582" w:type="pct"/>
                  <w:vAlign w:val="center"/>
                </w:tcPr>
                <w:p>
                  <w:pPr>
                    <w:pStyle w:val="60"/>
                    <w:rPr>
                      <w:rFonts w:eastAsiaTheme="minorEastAsia"/>
                    </w:rPr>
                  </w:pPr>
                  <w:r>
                    <w:rPr>
                      <w:rFonts w:hint="eastAsia" w:eastAsiaTheme="minorEastAsia"/>
                    </w:rPr>
                    <w:t>80</w:t>
                  </w:r>
                </w:p>
              </w:tc>
              <w:tc>
                <w:tcPr>
                  <w:tcW w:w="499" w:type="pct"/>
                  <w:vAlign w:val="center"/>
                </w:tcPr>
                <w:p>
                  <w:pPr>
                    <w:pStyle w:val="60"/>
                    <w:rPr>
                      <w:rFonts w:eastAsiaTheme="minorEastAsia"/>
                    </w:rPr>
                  </w:pPr>
                  <w:r>
                    <w:rPr>
                      <w:rFonts w:eastAsiaTheme="minorEastAsia"/>
                    </w:rPr>
                    <w:t>点源</w:t>
                  </w:r>
                </w:p>
              </w:tc>
              <w:tc>
                <w:tcPr>
                  <w:tcW w:w="1082" w:type="pct"/>
                  <w:vAlign w:val="center"/>
                </w:tcPr>
                <w:p>
                  <w:pPr>
                    <w:pStyle w:val="60"/>
                    <w:rPr>
                      <w:rFonts w:eastAsiaTheme="minorEastAsia"/>
                    </w:rPr>
                  </w:pPr>
                  <w:r>
                    <w:rPr>
                      <w:rFonts w:eastAsiaTheme="minorEastAsia"/>
                    </w:rPr>
                    <w:t>减振垫</w:t>
                  </w:r>
                </w:p>
              </w:tc>
              <w:tc>
                <w:tcPr>
                  <w:tcW w:w="583" w:type="pct"/>
                  <w:vAlign w:val="center"/>
                </w:tcPr>
                <w:p>
                  <w:pPr>
                    <w:pStyle w:val="60"/>
                    <w:rPr>
                      <w:rFonts w:eastAsiaTheme="minorEastAsia"/>
                    </w:rPr>
                  </w:pPr>
                  <w:r>
                    <w:rPr>
                      <w:rFonts w:hint="eastAsia" w:eastAsiaTheme="minorEastAsia"/>
                    </w:rPr>
                    <w:t>-10</w:t>
                  </w:r>
                </w:p>
              </w:tc>
              <w:tc>
                <w:tcPr>
                  <w:tcW w:w="588" w:type="pct"/>
                  <w:vAlign w:val="center"/>
                </w:tcPr>
                <w:p>
                  <w:pPr>
                    <w:pStyle w:val="60"/>
                    <w:rPr>
                      <w:rFonts w:eastAsiaTheme="minorEastAsia"/>
                    </w:rPr>
                  </w:pPr>
                  <w:r>
                    <w:rPr>
                      <w:rFonts w:hint="eastAsia" w:eastAsiaTheme="minorEastAsia"/>
                    </w:rPr>
                    <w:t>70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323" w:type="pct"/>
                  <w:vAlign w:val="center"/>
                </w:tcPr>
                <w:p>
                  <w:pPr>
                    <w:pStyle w:val="57"/>
                    <w:rPr>
                      <w:rFonts w:eastAsiaTheme="minorEastAsia"/>
                      <w:szCs w:val="21"/>
                    </w:rPr>
                  </w:pPr>
                  <w:r>
                    <w:rPr>
                      <w:rFonts w:hint="eastAsia" w:eastAsiaTheme="minorEastAsia"/>
                      <w:szCs w:val="21"/>
                    </w:rPr>
                    <w:t>5</w:t>
                  </w:r>
                </w:p>
              </w:tc>
              <w:tc>
                <w:tcPr>
                  <w:tcW w:w="761" w:type="pct"/>
                  <w:vAlign w:val="center"/>
                </w:tcPr>
                <w:p>
                  <w:pPr>
                    <w:pStyle w:val="57"/>
                    <w:rPr>
                      <w:szCs w:val="21"/>
                    </w:rPr>
                  </w:pPr>
                  <w:r>
                    <w:rPr>
                      <w:rFonts w:hAnsi="宋体"/>
                      <w:kern w:val="0"/>
                      <w:szCs w:val="21"/>
                    </w:rPr>
                    <w:t>皮带输送机</w:t>
                  </w:r>
                </w:p>
              </w:tc>
              <w:tc>
                <w:tcPr>
                  <w:tcW w:w="582" w:type="pct"/>
                  <w:vAlign w:val="center"/>
                </w:tcPr>
                <w:p>
                  <w:pPr>
                    <w:pStyle w:val="57"/>
                    <w:rPr>
                      <w:szCs w:val="21"/>
                    </w:rPr>
                  </w:pPr>
                  <w:r>
                    <w:rPr>
                      <w:kern w:val="0"/>
                      <w:szCs w:val="21"/>
                    </w:rPr>
                    <w:t>1</w:t>
                  </w:r>
                </w:p>
              </w:tc>
              <w:tc>
                <w:tcPr>
                  <w:tcW w:w="582" w:type="pct"/>
                  <w:vAlign w:val="center"/>
                </w:tcPr>
                <w:p>
                  <w:pPr>
                    <w:pStyle w:val="60"/>
                    <w:rPr>
                      <w:rFonts w:eastAsiaTheme="minorEastAsia"/>
                    </w:rPr>
                  </w:pPr>
                  <w:r>
                    <w:rPr>
                      <w:rFonts w:hint="eastAsia" w:eastAsiaTheme="minorEastAsia"/>
                    </w:rPr>
                    <w:t>75</w:t>
                  </w:r>
                </w:p>
              </w:tc>
              <w:tc>
                <w:tcPr>
                  <w:tcW w:w="499" w:type="pct"/>
                  <w:vAlign w:val="center"/>
                </w:tcPr>
                <w:p>
                  <w:pPr>
                    <w:pStyle w:val="60"/>
                    <w:rPr>
                      <w:rFonts w:eastAsiaTheme="minorEastAsia"/>
                    </w:rPr>
                  </w:pPr>
                  <w:r>
                    <w:rPr>
                      <w:rFonts w:eastAsiaTheme="minorEastAsia"/>
                    </w:rPr>
                    <w:t>点源</w:t>
                  </w:r>
                </w:p>
              </w:tc>
              <w:tc>
                <w:tcPr>
                  <w:tcW w:w="1082" w:type="pct"/>
                  <w:vAlign w:val="center"/>
                </w:tcPr>
                <w:p>
                  <w:pPr>
                    <w:pStyle w:val="60"/>
                    <w:rPr>
                      <w:rFonts w:eastAsiaTheme="minorEastAsia"/>
                    </w:rPr>
                  </w:pPr>
                  <w:r>
                    <w:rPr>
                      <w:rFonts w:eastAsiaTheme="minorEastAsia"/>
                    </w:rPr>
                    <w:t>减振垫</w:t>
                  </w:r>
                </w:p>
              </w:tc>
              <w:tc>
                <w:tcPr>
                  <w:tcW w:w="583" w:type="pct"/>
                  <w:vAlign w:val="center"/>
                </w:tcPr>
                <w:p>
                  <w:pPr>
                    <w:pStyle w:val="60"/>
                    <w:rPr>
                      <w:rFonts w:eastAsiaTheme="minorEastAsia"/>
                    </w:rPr>
                  </w:pPr>
                  <w:r>
                    <w:rPr>
                      <w:rFonts w:hint="eastAsia" w:eastAsiaTheme="minorEastAsia"/>
                    </w:rPr>
                    <w:t>-10</w:t>
                  </w:r>
                </w:p>
              </w:tc>
              <w:tc>
                <w:tcPr>
                  <w:tcW w:w="588" w:type="pct"/>
                  <w:vAlign w:val="center"/>
                </w:tcPr>
                <w:p>
                  <w:pPr>
                    <w:pStyle w:val="60"/>
                    <w:rPr>
                      <w:rFonts w:eastAsiaTheme="minorEastAsia"/>
                    </w:rPr>
                  </w:pPr>
                  <w:r>
                    <w:rPr>
                      <w:rFonts w:hint="eastAsia" w:eastAsiaTheme="minorEastAsia"/>
                    </w:rPr>
                    <w:t>65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323" w:type="pct"/>
                  <w:vAlign w:val="center"/>
                </w:tcPr>
                <w:p>
                  <w:pPr>
                    <w:pStyle w:val="57"/>
                    <w:rPr>
                      <w:rFonts w:eastAsiaTheme="minorEastAsia"/>
                      <w:szCs w:val="21"/>
                    </w:rPr>
                  </w:pPr>
                  <w:r>
                    <w:rPr>
                      <w:rFonts w:hint="eastAsia" w:eastAsiaTheme="minorEastAsia"/>
                      <w:szCs w:val="21"/>
                    </w:rPr>
                    <w:t>6</w:t>
                  </w:r>
                </w:p>
              </w:tc>
              <w:tc>
                <w:tcPr>
                  <w:tcW w:w="761" w:type="pct"/>
                  <w:vAlign w:val="center"/>
                </w:tcPr>
                <w:p>
                  <w:pPr>
                    <w:pStyle w:val="57"/>
                    <w:rPr>
                      <w:rFonts w:eastAsiaTheme="minorEastAsia"/>
                      <w:szCs w:val="21"/>
                    </w:rPr>
                  </w:pPr>
                  <w:r>
                    <w:rPr>
                      <w:rFonts w:hAnsi="宋体"/>
                      <w:kern w:val="0"/>
                      <w:szCs w:val="21"/>
                    </w:rPr>
                    <w:t>热风机</w:t>
                  </w:r>
                </w:p>
              </w:tc>
              <w:tc>
                <w:tcPr>
                  <w:tcW w:w="582" w:type="pct"/>
                  <w:vAlign w:val="center"/>
                </w:tcPr>
                <w:p>
                  <w:pPr>
                    <w:pStyle w:val="57"/>
                    <w:rPr>
                      <w:rFonts w:eastAsiaTheme="minorEastAsia"/>
                      <w:szCs w:val="21"/>
                    </w:rPr>
                  </w:pPr>
                  <w:r>
                    <w:rPr>
                      <w:rFonts w:hint="eastAsia" w:eastAsiaTheme="minorEastAsia"/>
                      <w:szCs w:val="21"/>
                    </w:rPr>
                    <w:t>3</w:t>
                  </w:r>
                </w:p>
              </w:tc>
              <w:tc>
                <w:tcPr>
                  <w:tcW w:w="582" w:type="pct"/>
                  <w:vAlign w:val="center"/>
                </w:tcPr>
                <w:p>
                  <w:pPr>
                    <w:pStyle w:val="60"/>
                    <w:rPr>
                      <w:rFonts w:eastAsiaTheme="minorEastAsia"/>
                    </w:rPr>
                  </w:pPr>
                  <w:r>
                    <w:rPr>
                      <w:rFonts w:hint="eastAsia" w:eastAsiaTheme="minorEastAsia"/>
                    </w:rPr>
                    <w:t>80</w:t>
                  </w:r>
                </w:p>
              </w:tc>
              <w:tc>
                <w:tcPr>
                  <w:tcW w:w="499" w:type="pct"/>
                  <w:vAlign w:val="center"/>
                </w:tcPr>
                <w:p>
                  <w:pPr>
                    <w:pStyle w:val="60"/>
                    <w:rPr>
                      <w:rFonts w:eastAsiaTheme="minorEastAsia"/>
                    </w:rPr>
                  </w:pPr>
                  <w:r>
                    <w:rPr>
                      <w:rFonts w:eastAsiaTheme="minorEastAsia"/>
                    </w:rPr>
                    <w:t>点源</w:t>
                  </w:r>
                </w:p>
              </w:tc>
              <w:tc>
                <w:tcPr>
                  <w:tcW w:w="1082" w:type="pct"/>
                  <w:vAlign w:val="center"/>
                </w:tcPr>
                <w:p>
                  <w:pPr>
                    <w:pStyle w:val="60"/>
                    <w:rPr>
                      <w:rFonts w:eastAsiaTheme="minorEastAsia"/>
                    </w:rPr>
                  </w:pPr>
                  <w:r>
                    <w:rPr>
                      <w:rFonts w:eastAsiaTheme="minorEastAsia"/>
                    </w:rPr>
                    <w:t>隔音+减振垫</w:t>
                  </w:r>
                </w:p>
              </w:tc>
              <w:tc>
                <w:tcPr>
                  <w:tcW w:w="583" w:type="pct"/>
                  <w:vAlign w:val="center"/>
                </w:tcPr>
                <w:p>
                  <w:pPr>
                    <w:pStyle w:val="60"/>
                    <w:rPr>
                      <w:rFonts w:eastAsiaTheme="minorEastAsia"/>
                    </w:rPr>
                  </w:pPr>
                  <w:r>
                    <w:rPr>
                      <w:rFonts w:eastAsiaTheme="minorEastAsia"/>
                    </w:rPr>
                    <w:t>-15</w:t>
                  </w:r>
                </w:p>
              </w:tc>
              <w:tc>
                <w:tcPr>
                  <w:tcW w:w="588" w:type="pct"/>
                  <w:vAlign w:val="center"/>
                </w:tcPr>
                <w:p>
                  <w:pPr>
                    <w:pStyle w:val="60"/>
                    <w:rPr>
                      <w:rFonts w:eastAsiaTheme="minorEastAsia"/>
                    </w:rPr>
                  </w:pPr>
                  <w:r>
                    <w:rPr>
                      <w:rFonts w:hint="eastAsia" w:eastAsiaTheme="minorEastAsia"/>
                    </w:rPr>
                    <w:t>65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323" w:type="pct"/>
                  <w:vAlign w:val="center"/>
                </w:tcPr>
                <w:p>
                  <w:pPr>
                    <w:pStyle w:val="57"/>
                    <w:rPr>
                      <w:rFonts w:eastAsiaTheme="minorEastAsia"/>
                      <w:szCs w:val="21"/>
                    </w:rPr>
                  </w:pPr>
                  <w:r>
                    <w:rPr>
                      <w:rFonts w:hint="eastAsia" w:eastAsiaTheme="minorEastAsia"/>
                      <w:szCs w:val="21"/>
                    </w:rPr>
                    <w:t>7</w:t>
                  </w:r>
                </w:p>
              </w:tc>
              <w:tc>
                <w:tcPr>
                  <w:tcW w:w="761" w:type="pct"/>
                  <w:vAlign w:val="center"/>
                </w:tcPr>
                <w:p>
                  <w:pPr>
                    <w:pStyle w:val="57"/>
                    <w:rPr>
                      <w:szCs w:val="21"/>
                    </w:rPr>
                  </w:pPr>
                  <w:r>
                    <w:rPr>
                      <w:rFonts w:hAnsi="宋体"/>
                      <w:kern w:val="0"/>
                      <w:szCs w:val="21"/>
                    </w:rPr>
                    <w:t>冷却风机</w:t>
                  </w:r>
                </w:p>
              </w:tc>
              <w:tc>
                <w:tcPr>
                  <w:tcW w:w="582" w:type="pct"/>
                  <w:vAlign w:val="center"/>
                </w:tcPr>
                <w:p>
                  <w:pPr>
                    <w:pStyle w:val="57"/>
                    <w:rPr>
                      <w:szCs w:val="21"/>
                    </w:rPr>
                  </w:pPr>
                  <w:r>
                    <w:rPr>
                      <w:kern w:val="0"/>
                      <w:szCs w:val="21"/>
                    </w:rPr>
                    <w:t>1</w:t>
                  </w:r>
                </w:p>
              </w:tc>
              <w:tc>
                <w:tcPr>
                  <w:tcW w:w="582" w:type="pct"/>
                  <w:vAlign w:val="center"/>
                </w:tcPr>
                <w:p>
                  <w:pPr>
                    <w:pStyle w:val="60"/>
                    <w:rPr>
                      <w:rFonts w:eastAsiaTheme="minorEastAsia"/>
                    </w:rPr>
                  </w:pPr>
                  <w:r>
                    <w:rPr>
                      <w:rFonts w:hint="eastAsia" w:eastAsiaTheme="minorEastAsia"/>
                    </w:rPr>
                    <w:t>80</w:t>
                  </w:r>
                </w:p>
              </w:tc>
              <w:tc>
                <w:tcPr>
                  <w:tcW w:w="499" w:type="pct"/>
                  <w:vAlign w:val="center"/>
                </w:tcPr>
                <w:p>
                  <w:pPr>
                    <w:pStyle w:val="60"/>
                    <w:rPr>
                      <w:rFonts w:eastAsiaTheme="minorEastAsia"/>
                    </w:rPr>
                  </w:pPr>
                  <w:r>
                    <w:rPr>
                      <w:rFonts w:eastAsiaTheme="minorEastAsia"/>
                    </w:rPr>
                    <w:t>点源</w:t>
                  </w:r>
                </w:p>
              </w:tc>
              <w:tc>
                <w:tcPr>
                  <w:tcW w:w="1082" w:type="pct"/>
                  <w:vAlign w:val="center"/>
                </w:tcPr>
                <w:p>
                  <w:pPr>
                    <w:pStyle w:val="60"/>
                    <w:rPr>
                      <w:rFonts w:eastAsiaTheme="minorEastAsia"/>
                    </w:rPr>
                  </w:pPr>
                  <w:r>
                    <w:rPr>
                      <w:rFonts w:eastAsiaTheme="minorEastAsia"/>
                    </w:rPr>
                    <w:t>隔音+减振垫</w:t>
                  </w:r>
                </w:p>
              </w:tc>
              <w:tc>
                <w:tcPr>
                  <w:tcW w:w="583" w:type="pct"/>
                  <w:vAlign w:val="center"/>
                </w:tcPr>
                <w:p>
                  <w:pPr>
                    <w:pStyle w:val="60"/>
                    <w:rPr>
                      <w:rFonts w:eastAsiaTheme="minorEastAsia"/>
                    </w:rPr>
                  </w:pPr>
                  <w:r>
                    <w:rPr>
                      <w:rFonts w:eastAsiaTheme="minorEastAsia"/>
                    </w:rPr>
                    <w:t>-15</w:t>
                  </w:r>
                </w:p>
              </w:tc>
              <w:tc>
                <w:tcPr>
                  <w:tcW w:w="588" w:type="pct"/>
                  <w:vAlign w:val="center"/>
                </w:tcPr>
                <w:p>
                  <w:pPr>
                    <w:pStyle w:val="60"/>
                    <w:rPr>
                      <w:rFonts w:eastAsiaTheme="minorEastAsia"/>
                    </w:rPr>
                  </w:pPr>
                  <w:r>
                    <w:rPr>
                      <w:rFonts w:hint="eastAsia" w:eastAsiaTheme="minorEastAsia"/>
                    </w:rPr>
                    <w:t>65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323" w:type="pct"/>
                  <w:vAlign w:val="center"/>
                </w:tcPr>
                <w:p>
                  <w:pPr>
                    <w:pStyle w:val="57"/>
                    <w:rPr>
                      <w:rFonts w:eastAsiaTheme="minorEastAsia"/>
                      <w:szCs w:val="21"/>
                    </w:rPr>
                  </w:pPr>
                  <w:r>
                    <w:rPr>
                      <w:rFonts w:hint="eastAsia" w:eastAsiaTheme="minorEastAsia"/>
                      <w:szCs w:val="21"/>
                    </w:rPr>
                    <w:t>8</w:t>
                  </w:r>
                </w:p>
              </w:tc>
              <w:tc>
                <w:tcPr>
                  <w:tcW w:w="761" w:type="pct"/>
                  <w:vAlign w:val="center"/>
                </w:tcPr>
                <w:p>
                  <w:pPr>
                    <w:pStyle w:val="57"/>
                    <w:rPr>
                      <w:szCs w:val="21"/>
                    </w:rPr>
                  </w:pPr>
                  <w:r>
                    <w:rPr>
                      <w:rFonts w:hAnsi="宋体"/>
                      <w:kern w:val="0"/>
                      <w:szCs w:val="21"/>
                    </w:rPr>
                    <w:t>皮带输送机</w:t>
                  </w:r>
                </w:p>
              </w:tc>
              <w:tc>
                <w:tcPr>
                  <w:tcW w:w="582" w:type="pct"/>
                  <w:vAlign w:val="center"/>
                </w:tcPr>
                <w:p>
                  <w:pPr>
                    <w:pStyle w:val="57"/>
                    <w:rPr>
                      <w:szCs w:val="21"/>
                    </w:rPr>
                  </w:pPr>
                  <w:r>
                    <w:rPr>
                      <w:kern w:val="0"/>
                      <w:szCs w:val="21"/>
                    </w:rPr>
                    <w:t>1</w:t>
                  </w:r>
                </w:p>
              </w:tc>
              <w:tc>
                <w:tcPr>
                  <w:tcW w:w="582" w:type="pct"/>
                  <w:vAlign w:val="center"/>
                </w:tcPr>
                <w:p>
                  <w:pPr>
                    <w:pStyle w:val="60"/>
                    <w:rPr>
                      <w:rFonts w:eastAsiaTheme="minorEastAsia"/>
                    </w:rPr>
                  </w:pPr>
                  <w:r>
                    <w:rPr>
                      <w:rFonts w:hint="eastAsia" w:eastAsiaTheme="minorEastAsia"/>
                    </w:rPr>
                    <w:t>75</w:t>
                  </w:r>
                </w:p>
              </w:tc>
              <w:tc>
                <w:tcPr>
                  <w:tcW w:w="499" w:type="pct"/>
                  <w:vAlign w:val="center"/>
                </w:tcPr>
                <w:p>
                  <w:pPr>
                    <w:pStyle w:val="60"/>
                    <w:rPr>
                      <w:rFonts w:eastAsiaTheme="minorEastAsia"/>
                    </w:rPr>
                  </w:pPr>
                  <w:r>
                    <w:rPr>
                      <w:rFonts w:eastAsiaTheme="minorEastAsia"/>
                    </w:rPr>
                    <w:t>点源</w:t>
                  </w:r>
                </w:p>
              </w:tc>
              <w:tc>
                <w:tcPr>
                  <w:tcW w:w="1082" w:type="pct"/>
                  <w:vAlign w:val="center"/>
                </w:tcPr>
                <w:p>
                  <w:pPr>
                    <w:pStyle w:val="60"/>
                    <w:rPr>
                      <w:rFonts w:eastAsiaTheme="minorEastAsia"/>
                    </w:rPr>
                  </w:pPr>
                  <w:r>
                    <w:rPr>
                      <w:rFonts w:eastAsiaTheme="minorEastAsia"/>
                    </w:rPr>
                    <w:t>减振垫</w:t>
                  </w:r>
                </w:p>
              </w:tc>
              <w:tc>
                <w:tcPr>
                  <w:tcW w:w="583" w:type="pct"/>
                  <w:vAlign w:val="center"/>
                </w:tcPr>
                <w:p>
                  <w:pPr>
                    <w:pStyle w:val="60"/>
                    <w:rPr>
                      <w:rFonts w:eastAsiaTheme="minorEastAsia"/>
                    </w:rPr>
                  </w:pPr>
                  <w:r>
                    <w:rPr>
                      <w:rFonts w:hint="eastAsia" w:eastAsiaTheme="minorEastAsia"/>
                    </w:rPr>
                    <w:t>-10</w:t>
                  </w:r>
                </w:p>
              </w:tc>
              <w:tc>
                <w:tcPr>
                  <w:tcW w:w="588" w:type="pct"/>
                  <w:vAlign w:val="center"/>
                </w:tcPr>
                <w:p>
                  <w:pPr>
                    <w:pStyle w:val="60"/>
                    <w:rPr>
                      <w:rFonts w:eastAsiaTheme="minorEastAsia"/>
                    </w:rPr>
                  </w:pPr>
                  <w:r>
                    <w:rPr>
                      <w:rFonts w:hint="eastAsia" w:eastAsiaTheme="minorEastAsia"/>
                    </w:rPr>
                    <w:t>65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323" w:type="pct"/>
                  <w:vAlign w:val="center"/>
                </w:tcPr>
                <w:p>
                  <w:pPr>
                    <w:pStyle w:val="57"/>
                    <w:rPr>
                      <w:rFonts w:eastAsiaTheme="minorEastAsia"/>
                      <w:szCs w:val="21"/>
                    </w:rPr>
                  </w:pPr>
                  <w:r>
                    <w:rPr>
                      <w:rFonts w:hint="eastAsia" w:eastAsiaTheme="minorEastAsia"/>
                      <w:szCs w:val="21"/>
                    </w:rPr>
                    <w:t>9</w:t>
                  </w:r>
                </w:p>
              </w:tc>
              <w:tc>
                <w:tcPr>
                  <w:tcW w:w="761" w:type="pct"/>
                  <w:vAlign w:val="center"/>
                </w:tcPr>
                <w:p>
                  <w:pPr>
                    <w:pStyle w:val="57"/>
                    <w:rPr>
                      <w:szCs w:val="21"/>
                    </w:rPr>
                  </w:pPr>
                  <w:r>
                    <w:rPr>
                      <w:rFonts w:hAnsi="宋体"/>
                      <w:kern w:val="0"/>
                      <w:szCs w:val="21"/>
                    </w:rPr>
                    <w:t>斗式提升机</w:t>
                  </w:r>
                </w:p>
              </w:tc>
              <w:tc>
                <w:tcPr>
                  <w:tcW w:w="582" w:type="pct"/>
                  <w:vAlign w:val="center"/>
                </w:tcPr>
                <w:p>
                  <w:pPr>
                    <w:pStyle w:val="57"/>
                    <w:rPr>
                      <w:szCs w:val="21"/>
                    </w:rPr>
                  </w:pPr>
                  <w:r>
                    <w:rPr>
                      <w:kern w:val="0"/>
                      <w:szCs w:val="21"/>
                    </w:rPr>
                    <w:t>1</w:t>
                  </w:r>
                </w:p>
              </w:tc>
              <w:tc>
                <w:tcPr>
                  <w:tcW w:w="582" w:type="pct"/>
                  <w:vAlign w:val="center"/>
                </w:tcPr>
                <w:p>
                  <w:pPr>
                    <w:pStyle w:val="60"/>
                    <w:rPr>
                      <w:rFonts w:eastAsiaTheme="minorEastAsia"/>
                    </w:rPr>
                  </w:pPr>
                  <w:r>
                    <w:rPr>
                      <w:rFonts w:hint="eastAsia" w:eastAsiaTheme="minorEastAsia"/>
                    </w:rPr>
                    <w:t>75</w:t>
                  </w:r>
                </w:p>
              </w:tc>
              <w:tc>
                <w:tcPr>
                  <w:tcW w:w="499" w:type="pct"/>
                  <w:vAlign w:val="center"/>
                </w:tcPr>
                <w:p>
                  <w:pPr>
                    <w:pStyle w:val="60"/>
                    <w:rPr>
                      <w:rFonts w:eastAsiaTheme="minorEastAsia"/>
                    </w:rPr>
                  </w:pPr>
                  <w:r>
                    <w:rPr>
                      <w:rFonts w:eastAsiaTheme="minorEastAsia"/>
                    </w:rPr>
                    <w:t>点源</w:t>
                  </w:r>
                </w:p>
              </w:tc>
              <w:tc>
                <w:tcPr>
                  <w:tcW w:w="1082" w:type="pct"/>
                  <w:vAlign w:val="center"/>
                </w:tcPr>
                <w:p>
                  <w:pPr>
                    <w:pStyle w:val="60"/>
                    <w:rPr>
                      <w:rFonts w:eastAsiaTheme="minorEastAsia"/>
                    </w:rPr>
                  </w:pPr>
                  <w:r>
                    <w:rPr>
                      <w:rFonts w:eastAsiaTheme="minorEastAsia"/>
                    </w:rPr>
                    <w:t>减振垫</w:t>
                  </w:r>
                </w:p>
              </w:tc>
              <w:tc>
                <w:tcPr>
                  <w:tcW w:w="583" w:type="pct"/>
                  <w:vAlign w:val="center"/>
                </w:tcPr>
                <w:p>
                  <w:pPr>
                    <w:pStyle w:val="60"/>
                    <w:rPr>
                      <w:rFonts w:eastAsiaTheme="minorEastAsia"/>
                    </w:rPr>
                  </w:pPr>
                  <w:r>
                    <w:rPr>
                      <w:rFonts w:hint="eastAsia" w:eastAsiaTheme="minorEastAsia"/>
                    </w:rPr>
                    <w:t>-10</w:t>
                  </w:r>
                </w:p>
              </w:tc>
              <w:tc>
                <w:tcPr>
                  <w:tcW w:w="588" w:type="pct"/>
                  <w:vAlign w:val="center"/>
                </w:tcPr>
                <w:p>
                  <w:pPr>
                    <w:pStyle w:val="60"/>
                    <w:rPr>
                      <w:rFonts w:eastAsiaTheme="minorEastAsia"/>
                    </w:rPr>
                  </w:pPr>
                  <w:r>
                    <w:rPr>
                      <w:rFonts w:hint="eastAsia" w:eastAsiaTheme="minorEastAsia"/>
                    </w:rPr>
                    <w:t>65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323" w:type="pct"/>
                  <w:vAlign w:val="center"/>
                </w:tcPr>
                <w:p>
                  <w:pPr>
                    <w:pStyle w:val="57"/>
                    <w:rPr>
                      <w:rFonts w:eastAsiaTheme="minorEastAsia"/>
                      <w:szCs w:val="21"/>
                    </w:rPr>
                  </w:pPr>
                  <w:r>
                    <w:rPr>
                      <w:rFonts w:hint="eastAsia" w:eastAsiaTheme="minorEastAsia"/>
                      <w:szCs w:val="21"/>
                    </w:rPr>
                    <w:t>10</w:t>
                  </w:r>
                </w:p>
              </w:tc>
              <w:tc>
                <w:tcPr>
                  <w:tcW w:w="761" w:type="pct"/>
                  <w:vAlign w:val="center"/>
                </w:tcPr>
                <w:p>
                  <w:pPr>
                    <w:pStyle w:val="57"/>
                    <w:rPr>
                      <w:szCs w:val="21"/>
                    </w:rPr>
                  </w:pPr>
                  <w:r>
                    <w:rPr>
                      <w:rFonts w:hAnsi="宋体"/>
                      <w:kern w:val="0"/>
                      <w:szCs w:val="21"/>
                    </w:rPr>
                    <w:t>移动式装车皮带机</w:t>
                  </w:r>
                </w:p>
              </w:tc>
              <w:tc>
                <w:tcPr>
                  <w:tcW w:w="582" w:type="pct"/>
                  <w:vAlign w:val="center"/>
                </w:tcPr>
                <w:p>
                  <w:pPr>
                    <w:pStyle w:val="57"/>
                    <w:rPr>
                      <w:szCs w:val="21"/>
                    </w:rPr>
                  </w:pPr>
                  <w:r>
                    <w:rPr>
                      <w:kern w:val="0"/>
                      <w:szCs w:val="21"/>
                    </w:rPr>
                    <w:t>1</w:t>
                  </w:r>
                </w:p>
              </w:tc>
              <w:tc>
                <w:tcPr>
                  <w:tcW w:w="582" w:type="pct"/>
                  <w:vAlign w:val="center"/>
                </w:tcPr>
                <w:p>
                  <w:pPr>
                    <w:pStyle w:val="60"/>
                    <w:rPr>
                      <w:rFonts w:eastAsiaTheme="minorEastAsia"/>
                    </w:rPr>
                  </w:pPr>
                  <w:r>
                    <w:rPr>
                      <w:rFonts w:hint="eastAsia" w:eastAsiaTheme="minorEastAsia"/>
                    </w:rPr>
                    <w:t>75</w:t>
                  </w:r>
                </w:p>
              </w:tc>
              <w:tc>
                <w:tcPr>
                  <w:tcW w:w="499" w:type="pct"/>
                  <w:vAlign w:val="center"/>
                </w:tcPr>
                <w:p>
                  <w:pPr>
                    <w:pStyle w:val="60"/>
                    <w:rPr>
                      <w:rFonts w:eastAsiaTheme="minorEastAsia"/>
                    </w:rPr>
                  </w:pPr>
                  <w:r>
                    <w:rPr>
                      <w:rFonts w:eastAsiaTheme="minorEastAsia"/>
                    </w:rPr>
                    <w:t>点源</w:t>
                  </w:r>
                </w:p>
              </w:tc>
              <w:tc>
                <w:tcPr>
                  <w:tcW w:w="1082" w:type="pct"/>
                  <w:vAlign w:val="center"/>
                </w:tcPr>
                <w:p>
                  <w:pPr>
                    <w:pStyle w:val="60"/>
                    <w:rPr>
                      <w:rFonts w:eastAsiaTheme="minorEastAsia"/>
                    </w:rPr>
                  </w:pPr>
                  <w:r>
                    <w:rPr>
                      <w:rFonts w:eastAsiaTheme="minorEastAsia"/>
                    </w:rPr>
                    <w:t>减振垫</w:t>
                  </w:r>
                </w:p>
              </w:tc>
              <w:tc>
                <w:tcPr>
                  <w:tcW w:w="583" w:type="pct"/>
                  <w:vAlign w:val="center"/>
                </w:tcPr>
                <w:p>
                  <w:pPr>
                    <w:pStyle w:val="60"/>
                    <w:rPr>
                      <w:rFonts w:eastAsiaTheme="minorEastAsia"/>
                    </w:rPr>
                  </w:pPr>
                  <w:r>
                    <w:rPr>
                      <w:rFonts w:hint="eastAsia" w:eastAsiaTheme="minorEastAsia"/>
                    </w:rPr>
                    <w:t>-10</w:t>
                  </w:r>
                </w:p>
              </w:tc>
              <w:tc>
                <w:tcPr>
                  <w:tcW w:w="588" w:type="pct"/>
                  <w:vAlign w:val="center"/>
                </w:tcPr>
                <w:p>
                  <w:pPr>
                    <w:pStyle w:val="60"/>
                    <w:rPr>
                      <w:rFonts w:eastAsiaTheme="minorEastAsia"/>
                    </w:rPr>
                  </w:pPr>
                  <w:r>
                    <w:rPr>
                      <w:rFonts w:hint="eastAsia" w:eastAsiaTheme="minorEastAsia"/>
                    </w:rPr>
                    <w:t>65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323" w:type="pct"/>
                  <w:vAlign w:val="center"/>
                </w:tcPr>
                <w:p>
                  <w:pPr>
                    <w:pStyle w:val="57"/>
                    <w:rPr>
                      <w:rFonts w:eastAsiaTheme="minorEastAsia"/>
                      <w:szCs w:val="21"/>
                    </w:rPr>
                  </w:pPr>
                  <w:r>
                    <w:rPr>
                      <w:rFonts w:hint="eastAsia" w:eastAsiaTheme="minorEastAsia"/>
                      <w:szCs w:val="21"/>
                    </w:rPr>
                    <w:t>11</w:t>
                  </w:r>
                </w:p>
              </w:tc>
              <w:tc>
                <w:tcPr>
                  <w:tcW w:w="761" w:type="pct"/>
                  <w:vAlign w:val="center"/>
                </w:tcPr>
                <w:p>
                  <w:pPr>
                    <w:pStyle w:val="57"/>
                    <w:rPr>
                      <w:szCs w:val="21"/>
                    </w:rPr>
                  </w:pPr>
                  <w:r>
                    <w:rPr>
                      <w:rFonts w:hAnsi="宋体"/>
                      <w:kern w:val="0"/>
                      <w:szCs w:val="21"/>
                    </w:rPr>
                    <w:t>空气压缩机</w:t>
                  </w:r>
                </w:p>
              </w:tc>
              <w:tc>
                <w:tcPr>
                  <w:tcW w:w="582" w:type="pct"/>
                  <w:vAlign w:val="center"/>
                </w:tcPr>
                <w:p>
                  <w:pPr>
                    <w:pStyle w:val="57"/>
                    <w:rPr>
                      <w:szCs w:val="21"/>
                    </w:rPr>
                  </w:pPr>
                  <w:r>
                    <w:rPr>
                      <w:kern w:val="0"/>
                      <w:szCs w:val="21"/>
                    </w:rPr>
                    <w:t>1</w:t>
                  </w:r>
                </w:p>
              </w:tc>
              <w:tc>
                <w:tcPr>
                  <w:tcW w:w="582" w:type="pct"/>
                  <w:vAlign w:val="center"/>
                </w:tcPr>
                <w:p>
                  <w:pPr>
                    <w:pStyle w:val="60"/>
                    <w:rPr>
                      <w:rFonts w:eastAsiaTheme="minorEastAsia"/>
                    </w:rPr>
                  </w:pPr>
                  <w:r>
                    <w:rPr>
                      <w:rFonts w:hint="eastAsia" w:eastAsiaTheme="minorEastAsia"/>
                    </w:rPr>
                    <w:t>80</w:t>
                  </w:r>
                </w:p>
              </w:tc>
              <w:tc>
                <w:tcPr>
                  <w:tcW w:w="499" w:type="pct"/>
                  <w:vAlign w:val="center"/>
                </w:tcPr>
                <w:p>
                  <w:pPr>
                    <w:pStyle w:val="60"/>
                    <w:rPr>
                      <w:rFonts w:eastAsiaTheme="minorEastAsia"/>
                    </w:rPr>
                  </w:pPr>
                  <w:r>
                    <w:rPr>
                      <w:rFonts w:eastAsiaTheme="minorEastAsia"/>
                    </w:rPr>
                    <w:t>点源</w:t>
                  </w:r>
                </w:p>
              </w:tc>
              <w:tc>
                <w:tcPr>
                  <w:tcW w:w="1082" w:type="pct"/>
                  <w:vAlign w:val="center"/>
                </w:tcPr>
                <w:p>
                  <w:pPr>
                    <w:pStyle w:val="60"/>
                    <w:rPr>
                      <w:rFonts w:eastAsiaTheme="minorEastAsia"/>
                    </w:rPr>
                  </w:pPr>
                  <w:r>
                    <w:rPr>
                      <w:rFonts w:eastAsiaTheme="minorEastAsia"/>
                    </w:rPr>
                    <w:t>隔音+减振垫</w:t>
                  </w:r>
                </w:p>
              </w:tc>
              <w:tc>
                <w:tcPr>
                  <w:tcW w:w="583" w:type="pct"/>
                  <w:vAlign w:val="center"/>
                </w:tcPr>
                <w:p>
                  <w:pPr>
                    <w:pStyle w:val="60"/>
                    <w:rPr>
                      <w:rFonts w:eastAsiaTheme="minorEastAsia"/>
                    </w:rPr>
                  </w:pPr>
                  <w:r>
                    <w:rPr>
                      <w:rFonts w:eastAsiaTheme="minorEastAsia"/>
                    </w:rPr>
                    <w:t>-15</w:t>
                  </w:r>
                </w:p>
              </w:tc>
              <w:tc>
                <w:tcPr>
                  <w:tcW w:w="588" w:type="pct"/>
                  <w:vAlign w:val="center"/>
                </w:tcPr>
                <w:p>
                  <w:pPr>
                    <w:pStyle w:val="60"/>
                    <w:rPr>
                      <w:rFonts w:eastAsiaTheme="minorEastAsia"/>
                    </w:rPr>
                  </w:pPr>
                  <w:r>
                    <w:rPr>
                      <w:rFonts w:hint="eastAsia" w:eastAsiaTheme="minorEastAsia"/>
                    </w:rPr>
                    <w:t>65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323" w:type="pct"/>
                  <w:vAlign w:val="center"/>
                </w:tcPr>
                <w:p>
                  <w:pPr>
                    <w:pStyle w:val="57"/>
                    <w:rPr>
                      <w:rFonts w:eastAsiaTheme="minorEastAsia"/>
                      <w:szCs w:val="21"/>
                    </w:rPr>
                  </w:pPr>
                  <w:r>
                    <w:rPr>
                      <w:rFonts w:hint="eastAsia" w:eastAsiaTheme="minorEastAsia"/>
                      <w:szCs w:val="21"/>
                    </w:rPr>
                    <w:t>12</w:t>
                  </w:r>
                </w:p>
              </w:tc>
              <w:tc>
                <w:tcPr>
                  <w:tcW w:w="761" w:type="pct"/>
                  <w:vAlign w:val="center"/>
                </w:tcPr>
                <w:p>
                  <w:pPr>
                    <w:pStyle w:val="57"/>
                    <w:rPr>
                      <w:szCs w:val="21"/>
                    </w:rPr>
                  </w:pPr>
                  <w:r>
                    <w:rPr>
                      <w:rFonts w:hAnsi="宋体"/>
                      <w:kern w:val="0"/>
                      <w:szCs w:val="21"/>
                    </w:rPr>
                    <w:t>冷冻干燥机</w:t>
                  </w:r>
                </w:p>
              </w:tc>
              <w:tc>
                <w:tcPr>
                  <w:tcW w:w="582" w:type="pct"/>
                  <w:vAlign w:val="center"/>
                </w:tcPr>
                <w:p>
                  <w:pPr>
                    <w:pStyle w:val="57"/>
                    <w:rPr>
                      <w:szCs w:val="21"/>
                    </w:rPr>
                  </w:pPr>
                  <w:r>
                    <w:rPr>
                      <w:kern w:val="0"/>
                      <w:szCs w:val="21"/>
                    </w:rPr>
                    <w:t>1</w:t>
                  </w:r>
                </w:p>
              </w:tc>
              <w:tc>
                <w:tcPr>
                  <w:tcW w:w="582" w:type="pct"/>
                  <w:vAlign w:val="center"/>
                </w:tcPr>
                <w:p>
                  <w:pPr>
                    <w:pStyle w:val="60"/>
                    <w:rPr>
                      <w:rFonts w:eastAsiaTheme="minorEastAsia"/>
                    </w:rPr>
                  </w:pPr>
                  <w:r>
                    <w:rPr>
                      <w:rFonts w:hint="eastAsia" w:eastAsiaTheme="minorEastAsia"/>
                    </w:rPr>
                    <w:t>80</w:t>
                  </w:r>
                </w:p>
              </w:tc>
              <w:tc>
                <w:tcPr>
                  <w:tcW w:w="499" w:type="pct"/>
                  <w:vAlign w:val="center"/>
                </w:tcPr>
                <w:p>
                  <w:pPr>
                    <w:pStyle w:val="60"/>
                    <w:rPr>
                      <w:rFonts w:eastAsiaTheme="minorEastAsia"/>
                    </w:rPr>
                  </w:pPr>
                  <w:r>
                    <w:rPr>
                      <w:rFonts w:eastAsiaTheme="minorEastAsia"/>
                    </w:rPr>
                    <w:t>点源</w:t>
                  </w:r>
                </w:p>
              </w:tc>
              <w:tc>
                <w:tcPr>
                  <w:tcW w:w="1082" w:type="pct"/>
                  <w:vAlign w:val="center"/>
                </w:tcPr>
                <w:p>
                  <w:pPr>
                    <w:pStyle w:val="60"/>
                    <w:rPr>
                      <w:rFonts w:eastAsiaTheme="minorEastAsia"/>
                    </w:rPr>
                  </w:pPr>
                  <w:r>
                    <w:rPr>
                      <w:rFonts w:eastAsiaTheme="minorEastAsia"/>
                    </w:rPr>
                    <w:t>隔音+减振垫</w:t>
                  </w:r>
                </w:p>
              </w:tc>
              <w:tc>
                <w:tcPr>
                  <w:tcW w:w="583" w:type="pct"/>
                  <w:vAlign w:val="center"/>
                </w:tcPr>
                <w:p>
                  <w:pPr>
                    <w:pStyle w:val="60"/>
                    <w:rPr>
                      <w:rFonts w:eastAsiaTheme="minorEastAsia"/>
                    </w:rPr>
                  </w:pPr>
                  <w:r>
                    <w:rPr>
                      <w:rFonts w:eastAsiaTheme="minorEastAsia"/>
                    </w:rPr>
                    <w:t>-15</w:t>
                  </w:r>
                </w:p>
              </w:tc>
              <w:tc>
                <w:tcPr>
                  <w:tcW w:w="588" w:type="pct"/>
                  <w:vAlign w:val="center"/>
                </w:tcPr>
                <w:p>
                  <w:pPr>
                    <w:pStyle w:val="60"/>
                    <w:rPr>
                      <w:rFonts w:eastAsiaTheme="minorEastAsia"/>
                    </w:rPr>
                  </w:pPr>
                  <w:r>
                    <w:rPr>
                      <w:rFonts w:hint="eastAsia" w:eastAsiaTheme="minorEastAsia"/>
                    </w:rPr>
                    <w:t>65</w:t>
                  </w:r>
                </w:p>
              </w:tc>
            </w:tr>
          </w:tbl>
          <w:p>
            <w:pPr>
              <w:pStyle w:val="31"/>
              <w:spacing w:beforeLines="50"/>
              <w:ind w:firstLine="480"/>
              <w:rPr>
                <w:rFonts w:eastAsiaTheme="minorEastAsia"/>
                <w:color w:val="auto"/>
                <w:kern w:val="2"/>
              </w:rPr>
            </w:pPr>
            <w:r>
              <w:rPr>
                <w:rFonts w:eastAsiaTheme="minorEastAsia"/>
                <w:color w:val="auto"/>
                <w:kern w:val="2"/>
              </w:rPr>
              <w:t>为减小项目营运后噪声对周围声环境的影响，建设单位应加强以下几个方面的噪声治理措施：</w:t>
            </w:r>
          </w:p>
          <w:p>
            <w:pPr>
              <w:pStyle w:val="31"/>
              <w:ind w:firstLine="480"/>
              <w:rPr>
                <w:rFonts w:eastAsiaTheme="minorEastAsia"/>
                <w:color w:val="auto"/>
                <w:kern w:val="2"/>
              </w:rPr>
            </w:pPr>
            <w:r>
              <w:rPr>
                <w:rFonts w:asciiTheme="minorEastAsia" w:eastAsiaTheme="minorEastAsia"/>
                <w:color w:val="auto"/>
                <w:kern w:val="2"/>
              </w:rPr>
              <w:t>①</w:t>
            </w:r>
            <w:r>
              <w:rPr>
                <w:rFonts w:eastAsiaTheme="minorEastAsia"/>
                <w:color w:val="auto"/>
                <w:kern w:val="2"/>
              </w:rPr>
              <w:t>采用低噪声设备，设备安装减振基座等方式以减少生产噪声；</w:t>
            </w:r>
          </w:p>
          <w:p>
            <w:pPr>
              <w:pStyle w:val="31"/>
              <w:ind w:firstLine="480"/>
              <w:rPr>
                <w:rFonts w:eastAsiaTheme="minorEastAsia"/>
                <w:color w:val="auto"/>
                <w:kern w:val="2"/>
              </w:rPr>
            </w:pPr>
            <w:r>
              <w:rPr>
                <w:rFonts w:asciiTheme="minorEastAsia" w:eastAsiaTheme="minorEastAsia"/>
                <w:color w:val="auto"/>
                <w:kern w:val="2"/>
              </w:rPr>
              <w:t>②</w:t>
            </w:r>
            <w:r>
              <w:rPr>
                <w:rFonts w:eastAsiaTheme="minorEastAsia"/>
                <w:color w:val="auto"/>
                <w:kern w:val="2"/>
              </w:rPr>
              <w:t>合理布局，加强厂区绿化可达到美化环境、吸尘及隔声的效果。</w:t>
            </w:r>
          </w:p>
          <w:p>
            <w:pPr>
              <w:pStyle w:val="31"/>
              <w:ind w:firstLine="480"/>
              <w:rPr>
                <w:rFonts w:eastAsiaTheme="minorEastAsia"/>
                <w:color w:val="auto"/>
              </w:rPr>
            </w:pPr>
            <w:r>
              <w:rPr>
                <w:rFonts w:eastAsiaTheme="minorEastAsia"/>
                <w:color w:val="auto"/>
                <w:kern w:val="2"/>
              </w:rPr>
              <w:t>经过上述减振、吸声、衰减等治理措施后，经预测，</w:t>
            </w:r>
            <w:r>
              <w:rPr>
                <w:rFonts w:eastAsiaTheme="minorEastAsia"/>
                <w:color w:val="auto"/>
                <w:szCs w:val="24"/>
              </w:rPr>
              <w:t>厂界噪声可满足《工业企业厂界环境噪声排放标准》（GB12348-2008）中</w:t>
            </w:r>
            <w:r>
              <w:rPr>
                <w:rFonts w:hint="eastAsia" w:eastAsiaTheme="minorEastAsia"/>
                <w:color w:val="auto"/>
                <w:szCs w:val="24"/>
              </w:rPr>
              <w:t>2</w:t>
            </w:r>
            <w:r>
              <w:rPr>
                <w:rFonts w:eastAsiaTheme="minorEastAsia"/>
                <w:color w:val="auto"/>
                <w:szCs w:val="24"/>
              </w:rPr>
              <w:t>类声环境功能区标准要求。</w:t>
            </w:r>
          </w:p>
          <w:p>
            <w:pPr>
              <w:pStyle w:val="31"/>
              <w:ind w:firstLine="482"/>
              <w:rPr>
                <w:rFonts w:eastAsiaTheme="minorEastAsia"/>
                <w:b/>
                <w:color w:val="auto"/>
              </w:rPr>
            </w:pPr>
            <w:r>
              <w:rPr>
                <w:rFonts w:eastAsiaTheme="minorEastAsia"/>
                <w:b/>
                <w:color w:val="auto"/>
              </w:rPr>
              <w:t>4、固体废物</w:t>
            </w:r>
          </w:p>
          <w:p>
            <w:pPr>
              <w:pStyle w:val="31"/>
              <w:ind w:firstLine="480"/>
              <w:rPr>
                <w:rFonts w:eastAsiaTheme="minorEastAsia"/>
                <w:color w:val="auto"/>
              </w:rPr>
            </w:pPr>
            <w:r>
              <w:rPr>
                <w:rFonts w:eastAsiaTheme="minorEastAsia"/>
                <w:color w:val="auto"/>
                <w:kern w:val="2"/>
              </w:rPr>
              <w:t>本项目产生的固体废物主要</w:t>
            </w:r>
            <w:r>
              <w:rPr>
                <w:rFonts w:hint="eastAsia" w:eastAsiaTheme="minorEastAsia"/>
                <w:color w:val="auto"/>
                <w:kern w:val="2"/>
              </w:rPr>
              <w:t>包括粮食初清杂质</w:t>
            </w:r>
            <w:r>
              <w:rPr>
                <w:rFonts w:eastAsiaTheme="minorEastAsia"/>
                <w:bCs/>
                <w:color w:val="auto"/>
                <w:szCs w:val="21"/>
              </w:rPr>
              <w:t>、</w:t>
            </w:r>
            <w:r>
              <w:rPr>
                <w:rFonts w:hint="eastAsia" w:eastAsiaTheme="minorEastAsia"/>
                <w:bCs/>
                <w:color w:val="auto"/>
                <w:szCs w:val="21"/>
              </w:rPr>
              <w:t>收集灰</w:t>
            </w:r>
            <w:r>
              <w:rPr>
                <w:rFonts w:eastAsiaTheme="minorEastAsia"/>
                <w:bCs/>
                <w:color w:val="auto"/>
                <w:szCs w:val="21"/>
              </w:rPr>
              <w:t>、</w:t>
            </w:r>
            <w:r>
              <w:rPr>
                <w:rFonts w:hint="eastAsia" w:eastAsiaTheme="minorEastAsia"/>
                <w:bCs/>
                <w:color w:val="auto"/>
                <w:szCs w:val="21"/>
              </w:rPr>
              <w:t>热风炉灰渣和</w:t>
            </w:r>
            <w:r>
              <w:rPr>
                <w:rFonts w:eastAsiaTheme="minorEastAsia"/>
                <w:bCs/>
                <w:color w:val="auto"/>
                <w:szCs w:val="21"/>
              </w:rPr>
              <w:t>生活垃圾</w:t>
            </w:r>
            <w:r>
              <w:rPr>
                <w:rFonts w:eastAsiaTheme="minorEastAsia"/>
                <w:color w:val="auto"/>
              </w:rPr>
              <w:t>。</w:t>
            </w:r>
          </w:p>
          <w:p>
            <w:pPr>
              <w:pStyle w:val="39"/>
              <w:rPr>
                <w:rFonts w:eastAsiaTheme="minorEastAsia"/>
              </w:rPr>
            </w:pPr>
            <w:r>
              <w:rPr>
                <w:rFonts w:eastAsiaTheme="minorEastAsia"/>
              </w:rPr>
              <w:t>表2</w:t>
            </w:r>
            <w:r>
              <w:rPr>
                <w:rFonts w:hint="eastAsia" w:eastAsiaTheme="minorEastAsia"/>
              </w:rPr>
              <w:t>1</w:t>
            </w:r>
            <w:r>
              <w:rPr>
                <w:rFonts w:eastAsiaTheme="minorEastAsia"/>
              </w:rPr>
              <w:t xml:space="preserve">    项目固体废物产生、处置情况一览表</w:t>
            </w:r>
          </w:p>
          <w:tbl>
            <w:tblPr>
              <w:tblStyle w:val="1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670"/>
              <w:gridCol w:w="1074"/>
              <w:gridCol w:w="1075"/>
              <w:gridCol w:w="1747"/>
              <w:gridCol w:w="22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pPr>
                    <w:pStyle w:val="60"/>
                    <w:rPr>
                      <w:rFonts w:eastAsiaTheme="minorEastAsia"/>
                      <w:szCs w:val="21"/>
                    </w:rPr>
                  </w:pPr>
                  <w:r>
                    <w:rPr>
                      <w:rFonts w:eastAsiaTheme="minorEastAsia"/>
                      <w:szCs w:val="21"/>
                    </w:rPr>
                    <w:t>污染物</w:t>
                  </w:r>
                </w:p>
              </w:tc>
              <w:tc>
                <w:tcPr>
                  <w:tcW w:w="422" w:type="pct"/>
                  <w:vAlign w:val="center"/>
                </w:tcPr>
                <w:p>
                  <w:pPr>
                    <w:pStyle w:val="60"/>
                    <w:rPr>
                      <w:rFonts w:eastAsiaTheme="minorEastAsia"/>
                      <w:szCs w:val="21"/>
                    </w:rPr>
                  </w:pPr>
                  <w:r>
                    <w:rPr>
                      <w:rFonts w:eastAsiaTheme="minorEastAsia"/>
                      <w:szCs w:val="21"/>
                    </w:rPr>
                    <w:t>性状</w:t>
                  </w:r>
                </w:p>
              </w:tc>
              <w:tc>
                <w:tcPr>
                  <w:tcW w:w="676" w:type="pct"/>
                  <w:vAlign w:val="center"/>
                </w:tcPr>
                <w:p>
                  <w:pPr>
                    <w:pStyle w:val="60"/>
                    <w:rPr>
                      <w:rFonts w:eastAsiaTheme="minorEastAsia"/>
                      <w:szCs w:val="21"/>
                    </w:rPr>
                  </w:pPr>
                  <w:r>
                    <w:rPr>
                      <w:rFonts w:eastAsiaTheme="minorEastAsia"/>
                      <w:szCs w:val="21"/>
                    </w:rPr>
                    <w:t>属性</w:t>
                  </w:r>
                </w:p>
              </w:tc>
              <w:tc>
                <w:tcPr>
                  <w:tcW w:w="677" w:type="pct"/>
                  <w:vAlign w:val="center"/>
                </w:tcPr>
                <w:p>
                  <w:pPr>
                    <w:pStyle w:val="60"/>
                    <w:rPr>
                      <w:rFonts w:eastAsiaTheme="minorEastAsia"/>
                      <w:szCs w:val="21"/>
                    </w:rPr>
                  </w:pPr>
                  <w:r>
                    <w:rPr>
                      <w:rFonts w:eastAsiaTheme="minorEastAsia"/>
                      <w:szCs w:val="21"/>
                    </w:rPr>
                    <w:t>产生量t/a</w:t>
                  </w:r>
                </w:p>
              </w:tc>
              <w:tc>
                <w:tcPr>
                  <w:tcW w:w="1100" w:type="pct"/>
                  <w:vAlign w:val="center"/>
                </w:tcPr>
                <w:p>
                  <w:pPr>
                    <w:pStyle w:val="60"/>
                    <w:rPr>
                      <w:rFonts w:eastAsiaTheme="minorEastAsia"/>
                      <w:szCs w:val="21"/>
                    </w:rPr>
                  </w:pPr>
                  <w:r>
                    <w:rPr>
                      <w:rFonts w:eastAsiaTheme="minorEastAsia"/>
                      <w:szCs w:val="21"/>
                    </w:rPr>
                    <w:t>贮存方式</w:t>
                  </w:r>
                </w:p>
              </w:tc>
              <w:tc>
                <w:tcPr>
                  <w:tcW w:w="1411" w:type="pct"/>
                  <w:vAlign w:val="center"/>
                </w:tcPr>
                <w:p>
                  <w:pPr>
                    <w:pStyle w:val="60"/>
                    <w:rPr>
                      <w:rFonts w:eastAsiaTheme="minorEastAsia"/>
                      <w:szCs w:val="21"/>
                    </w:rPr>
                  </w:pPr>
                  <w:r>
                    <w:rPr>
                      <w:rFonts w:eastAsiaTheme="minorEastAsia"/>
                      <w:szCs w:val="21"/>
                    </w:rPr>
                    <w:t>处置去向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pPr>
                    <w:pStyle w:val="60"/>
                    <w:rPr>
                      <w:rFonts w:eastAsiaTheme="minorEastAsia"/>
                      <w:szCs w:val="21"/>
                    </w:rPr>
                  </w:pPr>
                  <w:r>
                    <w:rPr>
                      <w:rFonts w:eastAsiaTheme="minorEastAsia"/>
                      <w:szCs w:val="21"/>
                    </w:rPr>
                    <w:t>生活垃圾</w:t>
                  </w:r>
                </w:p>
              </w:tc>
              <w:tc>
                <w:tcPr>
                  <w:tcW w:w="422" w:type="pct"/>
                  <w:vAlign w:val="center"/>
                </w:tcPr>
                <w:p>
                  <w:pPr>
                    <w:pStyle w:val="60"/>
                    <w:rPr>
                      <w:rFonts w:eastAsiaTheme="minorEastAsia"/>
                      <w:szCs w:val="21"/>
                    </w:rPr>
                  </w:pPr>
                  <w:r>
                    <w:rPr>
                      <w:rFonts w:eastAsiaTheme="minorEastAsia"/>
                      <w:szCs w:val="21"/>
                    </w:rPr>
                    <w:t>固态</w:t>
                  </w:r>
                </w:p>
              </w:tc>
              <w:tc>
                <w:tcPr>
                  <w:tcW w:w="676" w:type="pct"/>
                  <w:vAlign w:val="center"/>
                </w:tcPr>
                <w:p>
                  <w:pPr>
                    <w:pStyle w:val="60"/>
                    <w:rPr>
                      <w:rFonts w:eastAsiaTheme="minorEastAsia"/>
                      <w:szCs w:val="21"/>
                    </w:rPr>
                  </w:pPr>
                  <w:r>
                    <w:rPr>
                      <w:rFonts w:eastAsiaTheme="minorEastAsia"/>
                      <w:szCs w:val="21"/>
                    </w:rPr>
                    <w:t>一般固废</w:t>
                  </w:r>
                </w:p>
              </w:tc>
              <w:tc>
                <w:tcPr>
                  <w:tcW w:w="677" w:type="pct"/>
                  <w:tcBorders>
                    <w:bottom w:val="single" w:color="auto" w:sz="4" w:space="0"/>
                  </w:tcBorders>
                  <w:vAlign w:val="center"/>
                </w:tcPr>
                <w:p>
                  <w:pPr>
                    <w:pStyle w:val="60"/>
                    <w:rPr>
                      <w:rFonts w:eastAsiaTheme="minorEastAsia"/>
                      <w:szCs w:val="21"/>
                    </w:rPr>
                  </w:pPr>
                  <w:r>
                    <w:rPr>
                      <w:rFonts w:hint="eastAsia" w:eastAsiaTheme="minorEastAsia"/>
                      <w:szCs w:val="21"/>
                    </w:rPr>
                    <w:t>3.75</w:t>
                  </w:r>
                </w:p>
              </w:tc>
              <w:tc>
                <w:tcPr>
                  <w:tcW w:w="1100" w:type="pct"/>
                  <w:tcBorders>
                    <w:bottom w:val="single" w:color="auto" w:sz="4" w:space="0"/>
                  </w:tcBorders>
                  <w:vAlign w:val="center"/>
                </w:tcPr>
                <w:p>
                  <w:pPr>
                    <w:pStyle w:val="60"/>
                    <w:rPr>
                      <w:rFonts w:eastAsiaTheme="minorEastAsia"/>
                      <w:szCs w:val="21"/>
                    </w:rPr>
                  </w:pPr>
                  <w:r>
                    <w:rPr>
                      <w:rFonts w:eastAsiaTheme="minorEastAsia"/>
                      <w:szCs w:val="21"/>
                    </w:rPr>
                    <w:t>垃圾桶</w:t>
                  </w:r>
                </w:p>
              </w:tc>
              <w:tc>
                <w:tcPr>
                  <w:tcW w:w="1411" w:type="pct"/>
                  <w:tcBorders>
                    <w:bottom w:val="single" w:color="auto" w:sz="4" w:space="0"/>
                  </w:tcBorders>
                  <w:vAlign w:val="center"/>
                </w:tcPr>
                <w:p>
                  <w:pPr>
                    <w:pStyle w:val="60"/>
                    <w:rPr>
                      <w:rFonts w:eastAsiaTheme="minorEastAsia"/>
                      <w:szCs w:val="21"/>
                    </w:rPr>
                  </w:pPr>
                  <w:r>
                    <w:rPr>
                      <w:rFonts w:hint="eastAsia" w:eastAsiaTheme="minorEastAsia"/>
                      <w:szCs w:val="21"/>
                    </w:rPr>
                    <w:t>环卫部门清运处置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pPr>
                    <w:pStyle w:val="60"/>
                    <w:rPr>
                      <w:rFonts w:eastAsiaTheme="minorEastAsia"/>
                      <w:szCs w:val="21"/>
                    </w:rPr>
                  </w:pPr>
                  <w:r>
                    <w:rPr>
                      <w:rFonts w:hint="eastAsia" w:eastAsiaTheme="minorEastAsia"/>
                    </w:rPr>
                    <w:t>粮食初清杂质</w:t>
                  </w:r>
                </w:p>
              </w:tc>
              <w:tc>
                <w:tcPr>
                  <w:tcW w:w="422" w:type="pct"/>
                  <w:vAlign w:val="center"/>
                </w:tcPr>
                <w:p>
                  <w:pPr>
                    <w:pStyle w:val="60"/>
                    <w:rPr>
                      <w:rFonts w:eastAsiaTheme="minorEastAsia"/>
                      <w:szCs w:val="21"/>
                    </w:rPr>
                  </w:pPr>
                  <w:r>
                    <w:rPr>
                      <w:rFonts w:eastAsiaTheme="minorEastAsia"/>
                      <w:szCs w:val="21"/>
                    </w:rPr>
                    <w:t>固态</w:t>
                  </w:r>
                </w:p>
              </w:tc>
              <w:tc>
                <w:tcPr>
                  <w:tcW w:w="676" w:type="pct"/>
                  <w:vAlign w:val="center"/>
                </w:tcPr>
                <w:p>
                  <w:pPr>
                    <w:pStyle w:val="60"/>
                    <w:rPr>
                      <w:rFonts w:eastAsiaTheme="minorEastAsia"/>
                      <w:szCs w:val="21"/>
                    </w:rPr>
                  </w:pPr>
                  <w:r>
                    <w:rPr>
                      <w:rFonts w:eastAsiaTheme="minorEastAsia"/>
                      <w:szCs w:val="21"/>
                    </w:rPr>
                    <w:t>一般固废</w:t>
                  </w:r>
                </w:p>
              </w:tc>
              <w:tc>
                <w:tcPr>
                  <w:tcW w:w="677" w:type="pct"/>
                  <w:vAlign w:val="center"/>
                </w:tcPr>
                <w:p>
                  <w:pPr>
                    <w:pStyle w:val="60"/>
                    <w:rPr>
                      <w:rFonts w:eastAsiaTheme="minorEastAsia"/>
                      <w:szCs w:val="21"/>
                    </w:rPr>
                  </w:pPr>
                  <w:r>
                    <w:rPr>
                      <w:rFonts w:hint="eastAsia" w:eastAsiaTheme="minorEastAsia"/>
                      <w:szCs w:val="21"/>
                    </w:rPr>
                    <w:t>390</w:t>
                  </w:r>
                </w:p>
              </w:tc>
              <w:tc>
                <w:tcPr>
                  <w:tcW w:w="1100" w:type="pct"/>
                  <w:vMerge w:val="restart"/>
                  <w:vAlign w:val="center"/>
                </w:tcPr>
                <w:p>
                  <w:pPr>
                    <w:pStyle w:val="60"/>
                    <w:rPr>
                      <w:rFonts w:eastAsiaTheme="minorEastAsia"/>
                      <w:szCs w:val="21"/>
                    </w:rPr>
                  </w:pPr>
                  <w:r>
                    <w:rPr>
                      <w:rStyle w:val="37"/>
                      <w:rFonts w:hint="default" w:ascii="Times New Roman" w:eastAsiaTheme="minorEastAsia"/>
                      <w:color w:val="auto"/>
                      <w:sz w:val="21"/>
                      <w:szCs w:val="21"/>
                    </w:rPr>
                    <w:t>分类收集袋装后分区堆放在一般</w:t>
                  </w:r>
                </w:p>
                <w:p>
                  <w:pPr>
                    <w:pStyle w:val="60"/>
                    <w:rPr>
                      <w:rFonts w:eastAsiaTheme="minorEastAsia"/>
                      <w:szCs w:val="21"/>
                    </w:rPr>
                  </w:pPr>
                  <w:r>
                    <w:rPr>
                      <w:rStyle w:val="37"/>
                      <w:rFonts w:hint="default" w:ascii="Times New Roman" w:eastAsiaTheme="minorEastAsia"/>
                      <w:color w:val="auto"/>
                      <w:sz w:val="21"/>
                      <w:szCs w:val="21"/>
                    </w:rPr>
                    <w:t>固废暂存间</w:t>
                  </w:r>
                </w:p>
              </w:tc>
              <w:tc>
                <w:tcPr>
                  <w:tcW w:w="1411" w:type="pct"/>
                  <w:vAlign w:val="center"/>
                </w:tcPr>
                <w:p>
                  <w:pPr>
                    <w:pStyle w:val="60"/>
                    <w:rPr>
                      <w:rFonts w:eastAsiaTheme="minorEastAsia"/>
                      <w:szCs w:val="21"/>
                    </w:rPr>
                  </w:pPr>
                  <w:r>
                    <w:rPr>
                      <w:rStyle w:val="47"/>
                      <w:rFonts w:hint="default" w:ascii="Times New Roman"/>
                      <w:color w:val="auto"/>
                      <w:sz w:val="21"/>
                      <w:szCs w:val="21"/>
                    </w:rPr>
                    <w:t>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pPr>
                    <w:pStyle w:val="60"/>
                    <w:rPr>
                      <w:rFonts w:eastAsiaTheme="minorEastAsia"/>
                      <w:szCs w:val="21"/>
                    </w:rPr>
                  </w:pPr>
                  <w:r>
                    <w:rPr>
                      <w:rFonts w:hint="eastAsia" w:eastAsiaTheme="minorEastAsia"/>
                      <w:bCs/>
                      <w:szCs w:val="21"/>
                    </w:rPr>
                    <w:t>收集灰</w:t>
                  </w:r>
                </w:p>
              </w:tc>
              <w:tc>
                <w:tcPr>
                  <w:tcW w:w="422" w:type="pct"/>
                  <w:vAlign w:val="center"/>
                </w:tcPr>
                <w:p>
                  <w:pPr>
                    <w:pStyle w:val="60"/>
                    <w:rPr>
                      <w:rFonts w:eastAsiaTheme="minorEastAsia"/>
                      <w:szCs w:val="21"/>
                    </w:rPr>
                  </w:pPr>
                  <w:r>
                    <w:rPr>
                      <w:rFonts w:eastAsiaTheme="minorEastAsia"/>
                      <w:szCs w:val="21"/>
                    </w:rPr>
                    <w:t>固态</w:t>
                  </w:r>
                </w:p>
              </w:tc>
              <w:tc>
                <w:tcPr>
                  <w:tcW w:w="676" w:type="pct"/>
                  <w:vAlign w:val="center"/>
                </w:tcPr>
                <w:p>
                  <w:pPr>
                    <w:pStyle w:val="60"/>
                    <w:rPr>
                      <w:rFonts w:eastAsiaTheme="minorEastAsia"/>
                      <w:szCs w:val="21"/>
                    </w:rPr>
                  </w:pPr>
                  <w:r>
                    <w:rPr>
                      <w:rFonts w:eastAsiaTheme="minorEastAsia"/>
                      <w:szCs w:val="21"/>
                    </w:rPr>
                    <w:t>一般固废</w:t>
                  </w:r>
                </w:p>
              </w:tc>
              <w:tc>
                <w:tcPr>
                  <w:tcW w:w="677" w:type="pct"/>
                  <w:vAlign w:val="center"/>
                </w:tcPr>
                <w:p>
                  <w:pPr>
                    <w:pStyle w:val="60"/>
                    <w:rPr>
                      <w:rFonts w:eastAsiaTheme="minorEastAsia"/>
                      <w:szCs w:val="21"/>
                    </w:rPr>
                  </w:pPr>
                  <w:r>
                    <w:rPr>
                      <w:rFonts w:hint="eastAsia" w:eastAsiaTheme="minorEastAsia"/>
                      <w:szCs w:val="21"/>
                    </w:rPr>
                    <w:t>6.354</w:t>
                  </w:r>
                </w:p>
              </w:tc>
              <w:tc>
                <w:tcPr>
                  <w:tcW w:w="1100" w:type="pct"/>
                  <w:vMerge w:val="continue"/>
                  <w:vAlign w:val="center"/>
                </w:tcPr>
                <w:p>
                  <w:pPr>
                    <w:pStyle w:val="60"/>
                    <w:rPr>
                      <w:rFonts w:eastAsiaTheme="minorEastAsia"/>
                      <w:szCs w:val="21"/>
                    </w:rPr>
                  </w:pPr>
                </w:p>
              </w:tc>
              <w:tc>
                <w:tcPr>
                  <w:tcW w:w="1411" w:type="pct"/>
                  <w:vAlign w:val="center"/>
                </w:tcPr>
                <w:p>
                  <w:pPr>
                    <w:pStyle w:val="60"/>
                    <w:rPr>
                      <w:rFonts w:eastAsiaTheme="minorEastAsia"/>
                      <w:szCs w:val="21"/>
                    </w:rPr>
                  </w:pPr>
                  <w:r>
                    <w:rPr>
                      <w:rFonts w:hint="eastAsia" w:eastAsiaTheme="minorEastAsia"/>
                      <w:szCs w:val="21"/>
                    </w:rPr>
                    <w:t>统一清运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pPr>
                    <w:pStyle w:val="60"/>
                    <w:rPr>
                      <w:rFonts w:eastAsiaTheme="minorEastAsia"/>
                      <w:bCs/>
                      <w:szCs w:val="21"/>
                    </w:rPr>
                  </w:pPr>
                  <w:r>
                    <w:rPr>
                      <w:rFonts w:hint="eastAsia" w:eastAsiaTheme="minorEastAsia"/>
                      <w:bCs/>
                      <w:szCs w:val="21"/>
                    </w:rPr>
                    <w:t>热风炉灰渣</w:t>
                  </w:r>
                </w:p>
              </w:tc>
              <w:tc>
                <w:tcPr>
                  <w:tcW w:w="422" w:type="pct"/>
                  <w:vAlign w:val="center"/>
                </w:tcPr>
                <w:p>
                  <w:pPr>
                    <w:pStyle w:val="60"/>
                    <w:rPr>
                      <w:rFonts w:eastAsiaTheme="minorEastAsia"/>
                      <w:szCs w:val="21"/>
                    </w:rPr>
                  </w:pPr>
                  <w:r>
                    <w:rPr>
                      <w:rFonts w:eastAsiaTheme="minorEastAsia"/>
                      <w:szCs w:val="21"/>
                    </w:rPr>
                    <w:t>固态</w:t>
                  </w:r>
                </w:p>
              </w:tc>
              <w:tc>
                <w:tcPr>
                  <w:tcW w:w="676" w:type="pct"/>
                  <w:vAlign w:val="center"/>
                </w:tcPr>
                <w:p>
                  <w:pPr>
                    <w:pStyle w:val="60"/>
                    <w:rPr>
                      <w:rFonts w:eastAsiaTheme="minorEastAsia"/>
                      <w:szCs w:val="21"/>
                    </w:rPr>
                  </w:pPr>
                  <w:r>
                    <w:rPr>
                      <w:rFonts w:eastAsiaTheme="minorEastAsia"/>
                      <w:szCs w:val="21"/>
                    </w:rPr>
                    <w:t>一般固废</w:t>
                  </w:r>
                </w:p>
              </w:tc>
              <w:tc>
                <w:tcPr>
                  <w:tcW w:w="677" w:type="pct"/>
                  <w:vAlign w:val="center"/>
                </w:tcPr>
                <w:p>
                  <w:pPr>
                    <w:pStyle w:val="60"/>
                    <w:rPr>
                      <w:rFonts w:eastAsiaTheme="minorEastAsia"/>
                      <w:szCs w:val="21"/>
                    </w:rPr>
                  </w:pPr>
                  <w:r>
                    <w:rPr>
                      <w:rFonts w:hint="eastAsia" w:eastAsiaTheme="minorEastAsia"/>
                      <w:szCs w:val="21"/>
                    </w:rPr>
                    <w:t>22.36</w:t>
                  </w:r>
                </w:p>
              </w:tc>
              <w:tc>
                <w:tcPr>
                  <w:tcW w:w="1100" w:type="pct"/>
                  <w:vAlign w:val="center"/>
                </w:tcPr>
                <w:p>
                  <w:pPr>
                    <w:pStyle w:val="60"/>
                    <w:rPr>
                      <w:rFonts w:eastAsiaTheme="minorEastAsia"/>
                      <w:szCs w:val="21"/>
                    </w:rPr>
                  </w:pPr>
                  <w:r>
                    <w:rPr>
                      <w:rFonts w:hint="eastAsia" w:eastAsiaTheme="minorEastAsia"/>
                      <w:szCs w:val="21"/>
                    </w:rPr>
                    <w:t>热风炉房灰库</w:t>
                  </w:r>
                </w:p>
              </w:tc>
              <w:tc>
                <w:tcPr>
                  <w:tcW w:w="1411" w:type="pct"/>
                  <w:vAlign w:val="center"/>
                </w:tcPr>
                <w:p>
                  <w:pPr>
                    <w:pStyle w:val="60"/>
                    <w:rPr>
                      <w:rFonts w:eastAsiaTheme="minorEastAsia"/>
                      <w:szCs w:val="21"/>
                    </w:rPr>
                  </w:pPr>
                  <w:r>
                    <w:rPr>
                      <w:rStyle w:val="47"/>
                      <w:rFonts w:hint="default" w:ascii="Times New Roman"/>
                      <w:color w:val="auto"/>
                      <w:sz w:val="21"/>
                      <w:szCs w:val="21"/>
                    </w:rPr>
                    <w:t>外售综合利用</w:t>
                  </w:r>
                </w:p>
              </w:tc>
            </w:tr>
          </w:tbl>
          <w:p>
            <w:pPr>
              <w:pStyle w:val="31"/>
              <w:ind w:firstLine="480"/>
              <w:rPr>
                <w:rStyle w:val="47"/>
                <w:rFonts w:hint="default" w:ascii="Times New Roman" w:hAnsi="Times New Roman" w:eastAsiaTheme="minorEastAsia"/>
                <w:color w:val="auto"/>
              </w:rPr>
            </w:pPr>
          </w:p>
          <w:p>
            <w:pPr>
              <w:pStyle w:val="31"/>
              <w:ind w:firstLine="480"/>
              <w:rPr>
                <w:rStyle w:val="47"/>
                <w:rFonts w:hint="default" w:ascii="Times New Roman" w:hAnsi="Times New Roman" w:eastAsiaTheme="minorEastAsia"/>
                <w:color w:val="auto"/>
              </w:rPr>
            </w:pPr>
            <w:r>
              <w:rPr>
                <w:rStyle w:val="47"/>
                <w:rFonts w:hint="default" w:ascii="Times New Roman" w:hAnsi="Times New Roman" w:eastAsiaTheme="minorEastAsia"/>
                <w:color w:val="auto"/>
              </w:rPr>
              <w:t>具体源强计算过程如下：</w:t>
            </w:r>
          </w:p>
          <w:p>
            <w:pPr>
              <w:pStyle w:val="31"/>
              <w:ind w:firstLine="480"/>
              <w:rPr>
                <w:rStyle w:val="68"/>
                <w:rFonts w:eastAsiaTheme="minorEastAsia"/>
                <w:b w:val="0"/>
                <w:color w:val="auto"/>
              </w:rPr>
            </w:pPr>
            <w:r>
              <w:rPr>
                <w:rStyle w:val="68"/>
                <w:rFonts w:eastAsiaTheme="minorEastAsia"/>
                <w:b w:val="0"/>
                <w:color w:val="auto"/>
              </w:rPr>
              <w:fldChar w:fldCharType="begin"/>
            </w:r>
            <w:r>
              <w:rPr>
                <w:rStyle w:val="68"/>
                <w:rFonts w:eastAsiaTheme="minorEastAsia"/>
                <w:b w:val="0"/>
                <w:color w:val="auto"/>
              </w:rPr>
              <w:instrText xml:space="preserve"> = 1 \* GB3 </w:instrText>
            </w:r>
            <w:r>
              <w:rPr>
                <w:rStyle w:val="68"/>
                <w:rFonts w:eastAsiaTheme="minorEastAsia"/>
                <w:b w:val="0"/>
                <w:color w:val="auto"/>
              </w:rPr>
              <w:fldChar w:fldCharType="separate"/>
            </w:r>
            <w:r>
              <w:rPr>
                <w:rStyle w:val="68"/>
                <w:rFonts w:eastAsiaTheme="minorEastAsia"/>
                <w:b w:val="0"/>
                <w:color w:val="auto"/>
              </w:rPr>
              <w:t>①</w:t>
            </w:r>
            <w:r>
              <w:rPr>
                <w:rStyle w:val="68"/>
                <w:rFonts w:eastAsiaTheme="minorEastAsia"/>
                <w:b w:val="0"/>
                <w:color w:val="auto"/>
              </w:rPr>
              <w:fldChar w:fldCharType="end"/>
            </w:r>
            <w:r>
              <w:rPr>
                <w:rFonts w:eastAsiaTheme="minorEastAsia"/>
                <w:color w:val="auto"/>
                <w:kern w:val="2"/>
              </w:rPr>
              <w:t>粮食初清</w:t>
            </w:r>
            <w:r>
              <w:rPr>
                <w:rStyle w:val="68"/>
                <w:rFonts w:eastAsiaTheme="minorEastAsia"/>
                <w:b w:val="0"/>
                <w:color w:val="auto"/>
              </w:rPr>
              <w:t>杂质</w:t>
            </w:r>
          </w:p>
          <w:p>
            <w:pPr>
              <w:pStyle w:val="25"/>
              <w:ind w:firstLine="480"/>
              <w:rPr>
                <w:rFonts w:eastAsiaTheme="minorEastAsia"/>
                <w:b/>
                <w:bCs/>
                <w:szCs w:val="21"/>
              </w:rPr>
            </w:pPr>
            <w:r>
              <w:rPr>
                <w:rStyle w:val="47"/>
                <w:rFonts w:hint="default" w:ascii="Times New Roman"/>
                <w:color w:val="auto"/>
              </w:rPr>
              <w:t>根据企业提供，初清工序产生粮食杂质约</w:t>
            </w:r>
            <w:r>
              <w:rPr>
                <w:rStyle w:val="37"/>
                <w:rFonts w:hint="default" w:ascii="Times New Roman"/>
                <w:color w:val="auto"/>
              </w:rPr>
              <w:t>3</w:t>
            </w:r>
            <w:r>
              <w:rPr>
                <w:rStyle w:val="37"/>
                <w:rFonts w:hint="default" w:ascii="Times New Roman" w:eastAsiaTheme="minorEastAsia"/>
                <w:color w:val="auto"/>
              </w:rPr>
              <w:t>9</w:t>
            </w:r>
            <w:r>
              <w:rPr>
                <w:rStyle w:val="37"/>
                <w:rFonts w:hint="default" w:ascii="Times New Roman"/>
                <w:color w:val="auto"/>
              </w:rPr>
              <w:t>0t/a</w:t>
            </w:r>
            <w:r>
              <w:rPr>
                <w:rStyle w:val="47"/>
                <w:rFonts w:hint="default" w:ascii="Times New Roman"/>
                <w:color w:val="auto"/>
              </w:rPr>
              <w:t>，集中收集后暂存在一般固废间，外售综合利用。</w:t>
            </w:r>
          </w:p>
          <w:p>
            <w:pPr>
              <w:pStyle w:val="31"/>
              <w:ind w:firstLine="480"/>
              <w:rPr>
                <w:rFonts w:eastAsiaTheme="minorEastAsia"/>
                <w:color w:val="auto"/>
              </w:rPr>
            </w:pPr>
            <w:r>
              <w:rPr>
                <w:rFonts w:eastAsiaTheme="minorEastAsia"/>
                <w:color w:val="auto"/>
              </w:rPr>
              <w:fldChar w:fldCharType="begin"/>
            </w:r>
            <w:r>
              <w:rPr>
                <w:rFonts w:eastAsiaTheme="minorEastAsia"/>
                <w:color w:val="auto"/>
              </w:rPr>
              <w:instrText xml:space="preserve"> = 2 \* GB3 </w:instrText>
            </w:r>
            <w:r>
              <w:rPr>
                <w:rFonts w:eastAsiaTheme="minorEastAsia"/>
                <w:color w:val="auto"/>
              </w:rPr>
              <w:fldChar w:fldCharType="separate"/>
            </w:r>
            <w:r>
              <w:rPr>
                <w:rFonts w:eastAsiaTheme="minorEastAsia"/>
                <w:color w:val="auto"/>
              </w:rPr>
              <w:t>②</w:t>
            </w:r>
            <w:r>
              <w:rPr>
                <w:rFonts w:eastAsiaTheme="minorEastAsia"/>
                <w:color w:val="auto"/>
              </w:rPr>
              <w:fldChar w:fldCharType="end"/>
            </w:r>
            <w:r>
              <w:rPr>
                <w:rFonts w:eastAsiaTheme="minorEastAsia"/>
                <w:bCs/>
                <w:color w:val="auto"/>
                <w:szCs w:val="21"/>
              </w:rPr>
              <w:t>收集灰</w:t>
            </w:r>
          </w:p>
          <w:p>
            <w:pPr>
              <w:pStyle w:val="25"/>
              <w:ind w:firstLine="480"/>
              <w:rPr>
                <w:rStyle w:val="47"/>
                <w:rFonts w:hint="default" w:ascii="Times New Roman" w:hAnsi="Times New Roman"/>
                <w:color w:val="auto"/>
              </w:rPr>
            </w:pPr>
            <w:r>
              <w:rPr>
                <w:rStyle w:val="47"/>
                <w:rFonts w:hint="default" w:ascii="Times New Roman"/>
                <w:color w:val="auto"/>
              </w:rPr>
              <w:t>根据废气源强分析可知</w:t>
            </w:r>
          </w:p>
          <w:p>
            <w:pPr>
              <w:pStyle w:val="25"/>
              <w:ind w:firstLine="480"/>
              <w:rPr>
                <w:rStyle w:val="47"/>
                <w:rFonts w:hint="default" w:ascii="Times New Roman" w:hAnsi="Times New Roman"/>
                <w:color w:val="auto"/>
              </w:rPr>
            </w:pPr>
            <w:r>
              <w:rPr>
                <w:rStyle w:val="47"/>
                <w:rFonts w:hint="default"/>
                <w:color w:val="auto"/>
              </w:rPr>
              <w:t>A、</w:t>
            </w:r>
            <w:r>
              <w:rPr>
                <w:rStyle w:val="47"/>
                <w:rFonts w:hint="default" w:ascii="Times New Roman"/>
                <w:color w:val="auto"/>
              </w:rPr>
              <w:t>本项目初清工序粉尘产生量为</w:t>
            </w:r>
            <w:r>
              <w:rPr>
                <w:rStyle w:val="37"/>
                <w:rFonts w:hint="default" w:ascii="Times New Roman" w:eastAsiaTheme="minorEastAsia"/>
                <w:color w:val="auto"/>
              </w:rPr>
              <w:t>3.8</w:t>
            </w:r>
            <w:r>
              <w:rPr>
                <w:rStyle w:val="37"/>
                <w:rFonts w:hint="default" w:ascii="Times New Roman"/>
                <w:color w:val="auto"/>
              </w:rPr>
              <w:t>t/a</w:t>
            </w:r>
            <w:r>
              <w:rPr>
                <w:rStyle w:val="47"/>
                <w:rFonts w:hint="default" w:ascii="Times New Roman"/>
                <w:color w:val="auto"/>
              </w:rPr>
              <w:t>，其中</w:t>
            </w:r>
            <w:r>
              <w:rPr>
                <w:rStyle w:val="37"/>
                <w:rFonts w:hint="default" w:ascii="Times New Roman"/>
                <w:color w:val="auto"/>
              </w:rPr>
              <w:t>95%</w:t>
            </w:r>
            <w:r>
              <w:rPr>
                <w:rStyle w:val="47"/>
                <w:rFonts w:hint="default" w:ascii="Times New Roman"/>
                <w:color w:val="auto"/>
              </w:rPr>
              <w:t>粉尘可收集，则本项目初清工序收集粉尘量约为</w:t>
            </w:r>
            <w:r>
              <w:rPr>
                <w:rStyle w:val="37"/>
                <w:rFonts w:hint="default" w:ascii="Times New Roman" w:eastAsiaTheme="minorEastAsia"/>
                <w:color w:val="auto"/>
              </w:rPr>
              <w:t>0.19</w:t>
            </w:r>
            <w:r>
              <w:rPr>
                <w:rStyle w:val="37"/>
                <w:rFonts w:hint="default" w:ascii="Times New Roman"/>
                <w:color w:val="auto"/>
              </w:rPr>
              <w:t>t/a</w:t>
            </w:r>
            <w:r>
              <w:rPr>
                <w:rStyle w:val="47"/>
                <w:rFonts w:hint="default" w:ascii="Times New Roman"/>
                <w:color w:val="auto"/>
              </w:rPr>
              <w:t>。</w:t>
            </w:r>
          </w:p>
          <w:p>
            <w:pPr>
              <w:pStyle w:val="25"/>
              <w:ind w:firstLine="480"/>
              <w:rPr>
                <w:rStyle w:val="47"/>
                <w:rFonts w:hint="default" w:ascii="Times New Roman" w:hAnsi="Times New Roman"/>
                <w:color w:val="auto"/>
              </w:rPr>
            </w:pPr>
            <w:r>
              <w:rPr>
                <w:rStyle w:val="47"/>
                <w:rFonts w:hint="default"/>
                <w:color w:val="auto"/>
              </w:rPr>
              <w:t>B、</w:t>
            </w:r>
            <w:r>
              <w:rPr>
                <w:rStyle w:val="47"/>
                <w:rFonts w:hint="default" w:ascii="Times New Roman"/>
                <w:color w:val="auto"/>
              </w:rPr>
              <w:t>本项目粮食烘干过程中收集的粉尘量约为</w:t>
            </w:r>
            <w:r>
              <w:rPr>
                <w:rStyle w:val="37"/>
                <w:rFonts w:hint="default" w:ascii="Times New Roman"/>
                <w:color w:val="auto"/>
              </w:rPr>
              <w:t>1.</w:t>
            </w:r>
            <w:r>
              <w:rPr>
                <w:rStyle w:val="37"/>
                <w:rFonts w:hint="default" w:ascii="Times New Roman" w:eastAsiaTheme="minorEastAsia"/>
                <w:color w:val="auto"/>
              </w:rPr>
              <w:t>8</w:t>
            </w:r>
            <w:r>
              <w:rPr>
                <w:rStyle w:val="37"/>
                <w:rFonts w:hint="default" w:ascii="Times New Roman"/>
                <w:color w:val="auto"/>
              </w:rPr>
              <w:t>t/a</w:t>
            </w:r>
            <w:r>
              <w:rPr>
                <w:rStyle w:val="47"/>
                <w:rFonts w:hint="default" w:ascii="Times New Roman"/>
                <w:color w:val="auto"/>
              </w:rPr>
              <w:t>。</w:t>
            </w:r>
          </w:p>
          <w:p>
            <w:pPr>
              <w:pStyle w:val="25"/>
              <w:ind w:firstLine="480"/>
              <w:rPr>
                <w:rStyle w:val="47"/>
                <w:rFonts w:hint="default" w:ascii="Times New Roman" w:hAnsi="Times New Roman"/>
                <w:color w:val="auto"/>
              </w:rPr>
            </w:pPr>
            <w:r>
              <w:rPr>
                <w:rStyle w:val="47"/>
                <w:rFonts w:hint="default"/>
                <w:color w:val="auto"/>
              </w:rPr>
              <w:t>C、</w:t>
            </w:r>
            <w:r>
              <w:rPr>
                <w:rStyle w:val="47"/>
                <w:rFonts w:hint="default" w:ascii="Times New Roman"/>
                <w:color w:val="auto"/>
              </w:rPr>
              <w:t>热风炉废气治理过程中粉尘量约为</w:t>
            </w:r>
            <w:r>
              <w:rPr>
                <w:rStyle w:val="37"/>
                <w:rFonts w:hint="default" w:ascii="Times New Roman" w:eastAsiaTheme="minorEastAsia"/>
                <w:color w:val="auto"/>
              </w:rPr>
              <w:t>0.754</w:t>
            </w:r>
            <w:r>
              <w:rPr>
                <w:rStyle w:val="37"/>
                <w:rFonts w:hint="default" w:ascii="Times New Roman"/>
                <w:color w:val="auto"/>
              </w:rPr>
              <w:t>t/a</w:t>
            </w:r>
            <w:r>
              <w:rPr>
                <w:rStyle w:val="47"/>
                <w:rFonts w:hint="default" w:ascii="Times New Roman"/>
                <w:color w:val="auto"/>
              </w:rPr>
              <w:t>。</w:t>
            </w:r>
          </w:p>
          <w:p>
            <w:pPr>
              <w:pStyle w:val="25"/>
              <w:ind w:firstLine="480"/>
              <w:rPr>
                <w:rStyle w:val="37"/>
                <w:rFonts w:hint="default" w:ascii="Times New Roman" w:eastAsiaTheme="minorEastAsia"/>
                <w:color w:val="auto"/>
              </w:rPr>
            </w:pPr>
            <w:r>
              <w:rPr>
                <w:rStyle w:val="47"/>
                <w:rFonts w:hint="default" w:ascii="Times New Roman"/>
                <w:color w:val="auto"/>
              </w:rPr>
              <w:t>综上所述，本项目收集灰总量为</w:t>
            </w:r>
            <w:r>
              <w:rPr>
                <w:rStyle w:val="37"/>
                <w:rFonts w:hint="default" w:ascii="Times New Roman" w:eastAsiaTheme="minorEastAsia"/>
                <w:color w:val="auto"/>
              </w:rPr>
              <w:t>6.354</w:t>
            </w:r>
            <w:r>
              <w:rPr>
                <w:rStyle w:val="37"/>
                <w:rFonts w:hint="default" w:ascii="Times New Roman"/>
                <w:color w:val="auto"/>
              </w:rPr>
              <w:t>t/a</w:t>
            </w:r>
            <w:r>
              <w:rPr>
                <w:rStyle w:val="47"/>
                <w:rFonts w:hint="default" w:ascii="Times New Roman"/>
                <w:color w:val="auto"/>
              </w:rPr>
              <w:t>，集中收集，统一清运处理。</w:t>
            </w:r>
          </w:p>
          <w:p>
            <w:pPr>
              <w:pStyle w:val="31"/>
              <w:ind w:firstLine="480"/>
              <w:rPr>
                <w:rStyle w:val="37"/>
                <w:rFonts w:hint="default" w:ascii="Times New Roman" w:eastAsiaTheme="minorEastAsia"/>
                <w:color w:val="auto"/>
              </w:rPr>
            </w:pPr>
            <w:r>
              <w:rPr>
                <w:rStyle w:val="37"/>
                <w:rFonts w:hint="default" w:ascii="Times New Roman" w:eastAsiaTheme="minorEastAsia"/>
                <w:color w:val="auto"/>
              </w:rPr>
              <w:fldChar w:fldCharType="begin"/>
            </w:r>
            <w:r>
              <w:rPr>
                <w:rStyle w:val="37"/>
                <w:rFonts w:hint="default" w:ascii="Times New Roman" w:eastAsiaTheme="minorEastAsia"/>
                <w:color w:val="auto"/>
              </w:rPr>
              <w:instrText xml:space="preserve"> = 3 \* GB3 </w:instrText>
            </w:r>
            <w:r>
              <w:rPr>
                <w:rStyle w:val="37"/>
                <w:rFonts w:hint="default" w:ascii="Times New Roman" w:eastAsiaTheme="minorEastAsia"/>
                <w:color w:val="auto"/>
              </w:rPr>
              <w:fldChar w:fldCharType="separate"/>
            </w:r>
            <w:r>
              <w:rPr>
                <w:rStyle w:val="37"/>
                <w:rFonts w:hint="default" w:ascii="Times New Roman" w:eastAsiaTheme="minorEastAsia"/>
                <w:color w:val="auto"/>
              </w:rPr>
              <w:t>③</w:t>
            </w:r>
            <w:r>
              <w:rPr>
                <w:rStyle w:val="37"/>
                <w:rFonts w:hint="default" w:ascii="Times New Roman" w:eastAsiaTheme="minorEastAsia"/>
                <w:color w:val="auto"/>
              </w:rPr>
              <w:fldChar w:fldCharType="end"/>
            </w:r>
            <w:r>
              <w:rPr>
                <w:rStyle w:val="37"/>
                <w:rFonts w:hint="default" w:ascii="Times New Roman" w:eastAsiaTheme="minorEastAsia"/>
                <w:color w:val="auto"/>
              </w:rPr>
              <w:t>生活垃圾</w:t>
            </w:r>
          </w:p>
          <w:p>
            <w:pPr>
              <w:pStyle w:val="31"/>
              <w:ind w:firstLine="480"/>
              <w:rPr>
                <w:rFonts w:eastAsiaTheme="minorEastAsia"/>
                <w:color w:val="auto"/>
              </w:rPr>
            </w:pPr>
            <w:r>
              <w:rPr>
                <w:rFonts w:eastAsiaTheme="minorEastAsia"/>
                <w:color w:val="auto"/>
              </w:rPr>
              <w:t>厂区劳动定员</w:t>
            </w:r>
            <w:r>
              <w:rPr>
                <w:rFonts w:hint="eastAsia" w:eastAsiaTheme="minorEastAsia"/>
                <w:color w:val="auto"/>
              </w:rPr>
              <w:t>25</w:t>
            </w:r>
            <w:r>
              <w:rPr>
                <w:rFonts w:eastAsiaTheme="minorEastAsia"/>
                <w:color w:val="auto"/>
              </w:rPr>
              <w:t>人，垃圾产生量按照0.5kg/人/d核算，则垃圾产生量为1</w:t>
            </w:r>
            <w:r>
              <w:rPr>
                <w:rFonts w:hint="eastAsia" w:eastAsiaTheme="minorEastAsia"/>
                <w:color w:val="auto"/>
              </w:rPr>
              <w:t>2</w:t>
            </w:r>
            <w:r>
              <w:rPr>
                <w:rFonts w:eastAsiaTheme="minorEastAsia"/>
                <w:color w:val="auto"/>
              </w:rPr>
              <w:t>.5kg/d（</w:t>
            </w:r>
            <w:r>
              <w:rPr>
                <w:rFonts w:hint="eastAsia" w:eastAsiaTheme="minorEastAsia"/>
                <w:color w:val="auto"/>
              </w:rPr>
              <w:t>3.7</w:t>
            </w:r>
            <w:r>
              <w:rPr>
                <w:rFonts w:eastAsiaTheme="minorEastAsia"/>
                <w:color w:val="auto"/>
              </w:rPr>
              <w:t>5t/a），厂区设垃圾桶，分类收集后交由环卫部门处理。</w:t>
            </w:r>
          </w:p>
          <w:p>
            <w:pPr>
              <w:pStyle w:val="31"/>
              <w:ind w:firstLine="480"/>
              <w:rPr>
                <w:rFonts w:eastAsiaTheme="minorEastAsia"/>
                <w:bCs/>
                <w:color w:val="auto"/>
                <w:szCs w:val="21"/>
              </w:rPr>
            </w:pPr>
            <w:r>
              <w:rPr>
                <w:rFonts w:eastAsiaTheme="minorEastAsia"/>
                <w:color w:val="auto"/>
              </w:rPr>
              <w:fldChar w:fldCharType="begin"/>
            </w:r>
            <w:r>
              <w:rPr>
                <w:rFonts w:eastAsiaTheme="minorEastAsia"/>
                <w:color w:val="auto"/>
              </w:rPr>
              <w:instrText xml:space="preserve"> = 4 \* GB3 </w:instrText>
            </w:r>
            <w:r>
              <w:rPr>
                <w:rFonts w:eastAsiaTheme="minorEastAsia"/>
                <w:color w:val="auto"/>
              </w:rPr>
              <w:fldChar w:fldCharType="separate"/>
            </w:r>
            <w:r>
              <w:rPr>
                <w:rFonts w:eastAsiaTheme="minorEastAsia"/>
                <w:color w:val="auto"/>
              </w:rPr>
              <w:t>④</w:t>
            </w:r>
            <w:r>
              <w:rPr>
                <w:rFonts w:eastAsiaTheme="minorEastAsia"/>
                <w:color w:val="auto"/>
              </w:rPr>
              <w:fldChar w:fldCharType="end"/>
            </w:r>
            <w:r>
              <w:rPr>
                <w:rFonts w:eastAsiaTheme="minorEastAsia"/>
                <w:bCs/>
                <w:color w:val="auto"/>
                <w:szCs w:val="21"/>
              </w:rPr>
              <w:t>热风炉灰渣</w:t>
            </w:r>
          </w:p>
          <w:p>
            <w:pPr>
              <w:pStyle w:val="25"/>
              <w:ind w:firstLine="480"/>
              <w:rPr>
                <w:kern w:val="24"/>
              </w:rPr>
            </w:pPr>
            <w:r>
              <w:rPr>
                <w:kern w:val="24"/>
              </w:rPr>
              <w:t>根据《污染源源强核算技术指南热风炉》（HJ991-2018）中系数法计算热风炉炉渣产生量。</w:t>
            </w:r>
          </w:p>
          <w:p>
            <w:pPr>
              <w:pStyle w:val="25"/>
              <w:ind w:firstLine="480"/>
              <w:rPr>
                <w:kern w:val="24"/>
              </w:rPr>
            </w:pPr>
            <w:r>
              <w:rPr>
                <w:kern w:val="24"/>
              </w:rPr>
              <w:t>灰渣产生量计算公式如下：</w:t>
            </w:r>
          </w:p>
          <w:p>
            <w:pPr>
              <w:pStyle w:val="25"/>
              <w:ind w:firstLine="0" w:firstLineChars="0"/>
              <w:jc w:val="center"/>
              <w:rPr>
                <w:kern w:val="24"/>
              </w:rPr>
            </w:pPr>
            <w:r>
              <w:rPr>
                <w:kern w:val="24"/>
              </w:rPr>
              <w:drawing>
                <wp:inline distT="0" distB="0" distL="0" distR="0">
                  <wp:extent cx="2183130" cy="473710"/>
                  <wp:effectExtent l="19050" t="0" r="762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3" cstate="print"/>
                          <a:srcRect/>
                          <a:stretch>
                            <a:fillRect/>
                          </a:stretch>
                        </pic:blipFill>
                        <pic:spPr>
                          <a:xfrm>
                            <a:off x="0" y="0"/>
                            <a:ext cx="2186623" cy="475049"/>
                          </a:xfrm>
                          <a:prstGeom prst="rect">
                            <a:avLst/>
                          </a:prstGeom>
                          <a:noFill/>
                          <a:ln w="9525">
                            <a:noFill/>
                            <a:miter lim="800000"/>
                            <a:headEnd/>
                            <a:tailEnd/>
                          </a:ln>
                        </pic:spPr>
                      </pic:pic>
                    </a:graphicData>
                  </a:graphic>
                </wp:inline>
              </w:drawing>
            </w:r>
          </w:p>
          <w:p>
            <w:pPr>
              <w:pStyle w:val="25"/>
              <w:ind w:firstLine="480"/>
              <w:rPr>
                <w:kern w:val="24"/>
              </w:rPr>
            </w:pPr>
            <w:r>
              <w:rPr>
                <w:kern w:val="24"/>
              </w:rPr>
              <w:t>式中：Ehz——核算时段内灰渣的产生量，t；</w:t>
            </w:r>
          </w:p>
          <w:p>
            <w:pPr>
              <w:pStyle w:val="25"/>
              <w:ind w:firstLine="480"/>
              <w:rPr>
                <w:kern w:val="24"/>
              </w:rPr>
            </w:pPr>
            <w:r>
              <w:rPr>
                <w:kern w:val="24"/>
              </w:rPr>
              <w:t>R——核算时段内热风炉燃料耗量，</w:t>
            </w:r>
            <w:r>
              <w:rPr>
                <w:rFonts w:hint="eastAsia"/>
                <w:kern w:val="24"/>
              </w:rPr>
              <w:t>1512</w:t>
            </w:r>
            <w:r>
              <w:rPr>
                <w:kern w:val="24"/>
              </w:rPr>
              <w:t>t；</w:t>
            </w:r>
          </w:p>
          <w:p>
            <w:pPr>
              <w:pStyle w:val="25"/>
              <w:ind w:firstLine="480"/>
              <w:rPr>
                <w:kern w:val="24"/>
              </w:rPr>
            </w:pPr>
            <w:r>
              <w:rPr>
                <w:kern w:val="24"/>
              </w:rPr>
              <w:t>Aαr——收到基灰分的质量分数，根据计算公式Aar=Aad*(100-Mt)/(100-Mad)计算得1.05%；</w:t>
            </w:r>
          </w:p>
          <w:p>
            <w:pPr>
              <w:pStyle w:val="25"/>
              <w:ind w:firstLine="480"/>
              <w:rPr>
                <w:kern w:val="24"/>
              </w:rPr>
            </w:pPr>
            <w:r>
              <w:rPr>
                <w:kern w:val="24"/>
              </w:rPr>
              <w:t>q4——热风炉机械不完全燃烧热损失，3.5%；</w:t>
            </w:r>
          </w:p>
          <w:p>
            <w:pPr>
              <w:pStyle w:val="25"/>
              <w:ind w:firstLine="480"/>
              <w:rPr>
                <w:kern w:val="24"/>
              </w:rPr>
            </w:pPr>
            <w:r>
              <w:rPr>
                <w:kern w:val="24"/>
              </w:rPr>
              <w:t>Qnet,αr——收到基低位发热量，4150kJ/kg。</w:t>
            </w:r>
          </w:p>
          <w:p>
            <w:pPr>
              <w:pStyle w:val="25"/>
              <w:ind w:firstLine="480"/>
              <w:rPr>
                <w:kern w:val="24"/>
              </w:rPr>
            </w:pPr>
            <w:r>
              <w:rPr>
                <w:rStyle w:val="47"/>
                <w:rFonts w:hint="default" w:ascii="Times New Roman" w:hAnsi="Times New Roman"/>
                <w:color w:val="auto"/>
              </w:rPr>
              <w:t>经计算热风炉灰渣产生量约为</w:t>
            </w:r>
            <w:r>
              <w:rPr>
                <w:rStyle w:val="37"/>
                <w:rFonts w:hint="default" w:ascii="Times New Roman" w:eastAsiaTheme="minorEastAsia"/>
                <w:color w:val="auto"/>
              </w:rPr>
              <w:t>22.36</w:t>
            </w:r>
            <w:r>
              <w:rPr>
                <w:rStyle w:val="37"/>
                <w:rFonts w:hint="default" w:ascii="Times New Roman"/>
                <w:color w:val="auto"/>
              </w:rPr>
              <w:t>t/a</w:t>
            </w:r>
            <w:r>
              <w:rPr>
                <w:rStyle w:val="47"/>
                <w:rFonts w:hint="default" w:ascii="Times New Roman"/>
                <w:color w:val="auto"/>
              </w:rPr>
              <w:t>，暂存于灰仓中，外售综合利用。</w:t>
            </w:r>
          </w:p>
          <w:p>
            <w:pPr>
              <w:pStyle w:val="31"/>
              <w:ind w:firstLine="480"/>
              <w:rPr>
                <w:rFonts w:eastAsiaTheme="minorEastAsia"/>
                <w:color w:val="auto"/>
              </w:rPr>
            </w:pPr>
            <w:r>
              <w:rPr>
                <w:rFonts w:eastAsiaTheme="minorEastAsia"/>
                <w:color w:val="auto"/>
              </w:rPr>
              <w:t>综上，本项目产生的固废全部得到妥善处置，无固体废物直接排入外环境，对环境影响较小。</w:t>
            </w:r>
          </w:p>
          <w:p>
            <w:pPr>
              <w:pStyle w:val="31"/>
              <w:ind w:firstLine="482"/>
              <w:rPr>
                <w:rFonts w:eastAsiaTheme="minorEastAsia"/>
                <w:b/>
                <w:color w:val="auto"/>
              </w:rPr>
            </w:pPr>
            <w:r>
              <w:rPr>
                <w:rFonts w:hint="eastAsia" w:eastAsiaTheme="minorEastAsia"/>
                <w:b/>
                <w:color w:val="auto"/>
              </w:rPr>
              <w:t>5</w:t>
            </w:r>
            <w:r>
              <w:rPr>
                <w:rFonts w:eastAsiaTheme="minorEastAsia"/>
                <w:b/>
                <w:color w:val="auto"/>
              </w:rPr>
              <w:t>、地下水防治措施</w:t>
            </w:r>
          </w:p>
          <w:p>
            <w:pPr>
              <w:pStyle w:val="25"/>
              <w:ind w:firstLine="480"/>
              <w:rPr>
                <w:rStyle w:val="47"/>
                <w:rFonts w:hint="default" w:ascii="Times New Roman" w:hAnsi="Times New Roman"/>
                <w:color w:val="auto"/>
              </w:rPr>
            </w:pPr>
            <w:r>
              <w:rPr>
                <w:rStyle w:val="47"/>
                <w:rFonts w:hint="default"/>
                <w:color w:val="auto"/>
              </w:rPr>
              <w:t>⑴</w:t>
            </w:r>
            <w:r>
              <w:rPr>
                <w:rStyle w:val="47"/>
                <w:rFonts w:hint="default" w:ascii="Times New Roman"/>
                <w:color w:val="auto"/>
              </w:rPr>
              <w:t>污染源分析</w:t>
            </w:r>
          </w:p>
          <w:p>
            <w:pPr>
              <w:pStyle w:val="25"/>
              <w:ind w:firstLine="480"/>
              <w:rPr>
                <w:rStyle w:val="47"/>
                <w:rFonts w:hint="default" w:ascii="Times New Roman" w:hAnsi="Times New Roman"/>
                <w:color w:val="auto"/>
              </w:rPr>
            </w:pPr>
            <w:r>
              <w:rPr>
                <w:rStyle w:val="47"/>
                <w:rFonts w:hint="default" w:ascii="Times New Roman"/>
                <w:color w:val="auto"/>
              </w:rPr>
              <w:t>本项目对地下水造成污染的主要途径是废水渗漏以及固体废物的任意堆放，从而造成土壤、地下水污染。</w:t>
            </w:r>
          </w:p>
          <w:p>
            <w:pPr>
              <w:pStyle w:val="25"/>
              <w:ind w:firstLine="480"/>
              <w:rPr>
                <w:rStyle w:val="47"/>
                <w:rFonts w:hint="default" w:ascii="Times New Roman" w:hAnsi="Times New Roman"/>
                <w:color w:val="auto"/>
              </w:rPr>
            </w:pPr>
            <w:r>
              <w:rPr>
                <w:rStyle w:val="47"/>
                <w:rFonts w:hint="default" w:ascii="Times New Roman"/>
                <w:color w:val="auto"/>
              </w:rPr>
              <w:t>废气其对土壤的污染主要是由排放到大气环境中的事故污染物沉降到土壤中引起的。本项目涉及污染因子主要为颗粒物、</w:t>
            </w:r>
            <w:r>
              <w:rPr>
                <w:rStyle w:val="37"/>
                <w:rFonts w:hint="default" w:ascii="Times New Roman"/>
                <w:color w:val="auto"/>
              </w:rPr>
              <w:t>SO</w:t>
            </w:r>
            <w:r>
              <w:rPr>
                <w:rStyle w:val="37"/>
                <w:rFonts w:hint="default" w:ascii="Times New Roman"/>
                <w:color w:val="auto"/>
                <w:sz w:val="16"/>
                <w:szCs w:val="16"/>
              </w:rPr>
              <w:t>2</w:t>
            </w:r>
            <w:r>
              <w:rPr>
                <w:rStyle w:val="47"/>
                <w:rFonts w:hint="default" w:ascii="Times New Roman"/>
                <w:color w:val="auto"/>
              </w:rPr>
              <w:t>、</w:t>
            </w:r>
            <w:r>
              <w:rPr>
                <w:rStyle w:val="37"/>
                <w:rFonts w:hint="default" w:ascii="Times New Roman"/>
                <w:color w:val="auto"/>
              </w:rPr>
              <w:t>NOx</w:t>
            </w:r>
            <w:r>
              <w:rPr>
                <w:rStyle w:val="47"/>
                <w:rFonts w:hint="default" w:ascii="Times New Roman"/>
                <w:color w:val="auto"/>
              </w:rPr>
              <w:t>，不涉及有毒、难降解污染因子的大气沉降，且不在《土壤环境质量标准建设用地土壤污染风险管控标准》（</w:t>
            </w:r>
            <w:r>
              <w:rPr>
                <w:rStyle w:val="37"/>
                <w:rFonts w:hint="default" w:ascii="Times New Roman"/>
                <w:color w:val="auto"/>
              </w:rPr>
              <w:t>GB36600-2018</w:t>
            </w:r>
            <w:r>
              <w:rPr>
                <w:rStyle w:val="47"/>
                <w:rFonts w:hint="default" w:ascii="Times New Roman"/>
                <w:color w:val="auto"/>
              </w:rPr>
              <w:t>）所列控制污染物当中，因此，通过大气沉降等形式对土壤造成污染的可能性很小。</w:t>
            </w:r>
          </w:p>
          <w:p>
            <w:pPr>
              <w:pStyle w:val="25"/>
              <w:ind w:firstLine="480"/>
              <w:rPr>
                <w:rStyle w:val="47"/>
                <w:rFonts w:hint="default" w:ascii="Times New Roman" w:hAnsi="Times New Roman"/>
                <w:color w:val="auto"/>
              </w:rPr>
            </w:pPr>
            <w:r>
              <w:rPr>
                <w:rStyle w:val="47"/>
                <w:rFonts w:hint="default"/>
                <w:color w:val="auto"/>
              </w:rPr>
              <w:t>⑵</w:t>
            </w:r>
            <w:r>
              <w:rPr>
                <w:rStyle w:val="47"/>
                <w:rFonts w:hint="default" w:ascii="Times New Roman"/>
                <w:color w:val="auto"/>
              </w:rPr>
              <w:t>防治措施</w:t>
            </w:r>
          </w:p>
          <w:p>
            <w:pPr>
              <w:pStyle w:val="25"/>
              <w:ind w:firstLine="480"/>
              <w:rPr>
                <w:rStyle w:val="47"/>
                <w:rFonts w:hint="default" w:ascii="Times New Roman" w:hAnsi="Times New Roman"/>
                <w:color w:val="auto"/>
              </w:rPr>
            </w:pPr>
            <w:r>
              <w:rPr>
                <w:rStyle w:val="47"/>
                <w:rFonts w:hint="default" w:ascii="Times New Roman"/>
                <w:color w:val="auto"/>
              </w:rPr>
              <w:t>为防止项目建成运营后对周围土壤环境造成污染，企业应定期维护、检修各生产设施；加强环境保护工作，制定环境管理制度，同时强化风险防范意识，如遇生产设施不能正常运转，企业应立即停产检修。</w:t>
            </w:r>
          </w:p>
          <w:p>
            <w:pPr>
              <w:pStyle w:val="25"/>
              <w:ind w:firstLine="480"/>
              <w:rPr>
                <w:rStyle w:val="47"/>
                <w:rFonts w:hint="default" w:ascii="Times New Roman" w:hAnsi="Times New Roman"/>
                <w:color w:val="auto"/>
              </w:rPr>
            </w:pPr>
            <w:r>
              <w:rPr>
                <w:rStyle w:val="47"/>
                <w:rFonts w:hint="default"/>
                <w:color w:val="auto"/>
              </w:rPr>
              <w:t>⑶</w:t>
            </w:r>
            <w:r>
              <w:rPr>
                <w:rStyle w:val="47"/>
                <w:rFonts w:hint="default" w:ascii="Times New Roman"/>
                <w:color w:val="auto"/>
              </w:rPr>
              <w:t>分区防渗</w:t>
            </w:r>
          </w:p>
          <w:p>
            <w:pPr>
              <w:pStyle w:val="25"/>
              <w:ind w:firstLine="480"/>
              <w:rPr>
                <w:rStyle w:val="47"/>
                <w:rFonts w:hint="default" w:ascii="Times New Roman" w:hAnsi="Times New Roman"/>
                <w:color w:val="auto"/>
              </w:rPr>
            </w:pPr>
            <w:r>
              <w:rPr>
                <w:rStyle w:val="47"/>
                <w:rFonts w:hint="default" w:ascii="Times New Roman"/>
                <w:color w:val="auto"/>
              </w:rPr>
              <w:t>根据《环境影响评价技术导则地下水环境》（</w:t>
            </w:r>
            <w:r>
              <w:rPr>
                <w:rStyle w:val="37"/>
                <w:rFonts w:hint="default" w:ascii="Times New Roman"/>
                <w:color w:val="auto"/>
              </w:rPr>
              <w:t>HJ610-2016</w:t>
            </w:r>
            <w:r>
              <w:rPr>
                <w:rStyle w:val="47"/>
                <w:rFonts w:hint="default" w:ascii="Times New Roman"/>
                <w:color w:val="auto"/>
              </w:rPr>
              <w:t>）中污染防治区分的规定，根据装置、单元的特点和所处的区域及部位，可将建设场地划分为简单防渗区、一般防渗区和重点防渗区。</w:t>
            </w:r>
          </w:p>
          <w:p>
            <w:pPr>
              <w:pStyle w:val="25"/>
              <w:ind w:firstLine="480"/>
              <w:rPr>
                <w:rStyle w:val="47"/>
                <w:rFonts w:hint="default" w:ascii="Times New Roman" w:hAnsi="Times New Roman"/>
                <w:color w:val="auto"/>
              </w:rPr>
            </w:pPr>
            <w:r>
              <w:rPr>
                <w:rStyle w:val="47"/>
                <w:rFonts w:hint="default" w:ascii="Times New Roman"/>
                <w:color w:val="auto"/>
              </w:rPr>
              <w:t>重点防渗区：等效黏土防渗层</w:t>
            </w:r>
            <w:r>
              <w:rPr>
                <w:rStyle w:val="37"/>
                <w:rFonts w:hint="default" w:ascii="Times New Roman"/>
                <w:color w:val="auto"/>
              </w:rPr>
              <w:t>Mb</w:t>
            </w:r>
            <w:r>
              <w:rPr>
                <w:rStyle w:val="47"/>
                <w:rFonts w:hint="default" w:ascii="Times New Roman" w:hAnsi="Times New Roman"/>
                <w:color w:val="auto"/>
              </w:rPr>
              <w:t>≥</w:t>
            </w:r>
            <w:r>
              <w:rPr>
                <w:rStyle w:val="37"/>
                <w:rFonts w:hint="default" w:ascii="Times New Roman"/>
                <w:color w:val="auto"/>
              </w:rPr>
              <w:t>6.0m</w:t>
            </w:r>
            <w:r>
              <w:rPr>
                <w:rStyle w:val="47"/>
                <w:rFonts w:hint="default" w:ascii="Times New Roman"/>
                <w:color w:val="auto"/>
              </w:rPr>
              <w:t>，</w:t>
            </w:r>
            <w:r>
              <w:rPr>
                <w:rStyle w:val="37"/>
                <w:rFonts w:hint="default" w:ascii="Times New Roman"/>
                <w:color w:val="auto"/>
              </w:rPr>
              <w:t>K</w:t>
            </w:r>
            <w:r>
              <w:rPr>
                <w:rStyle w:val="47"/>
                <w:rFonts w:hint="default" w:ascii="Times New Roman" w:hAnsi="Times New Roman"/>
                <w:color w:val="auto"/>
              </w:rPr>
              <w:t>≤</w:t>
            </w:r>
            <w:r>
              <w:rPr>
                <w:rStyle w:val="37"/>
                <w:rFonts w:hint="default" w:ascii="Times New Roman"/>
                <w:color w:val="auto"/>
              </w:rPr>
              <w:t>1</w:t>
            </w:r>
            <w:r>
              <w:rPr>
                <w:rStyle w:val="47"/>
                <w:rFonts w:hint="default" w:ascii="Times New Roman" w:hAnsi="Times New Roman"/>
                <w:color w:val="auto"/>
              </w:rPr>
              <w:t>×</w:t>
            </w:r>
            <w:r>
              <w:rPr>
                <w:rStyle w:val="37"/>
                <w:rFonts w:hint="default" w:ascii="Times New Roman"/>
                <w:color w:val="auto"/>
              </w:rPr>
              <w:t>1</w:t>
            </w:r>
            <w:r>
              <w:rPr>
                <w:rStyle w:val="37"/>
                <w:rFonts w:hint="default" w:ascii="Times New Roman" w:eastAsiaTheme="minorEastAsia"/>
                <w:color w:val="auto"/>
              </w:rPr>
              <w:t>0</w:t>
            </w:r>
            <w:r>
              <w:rPr>
                <w:rStyle w:val="37"/>
                <w:rFonts w:hint="default" w:ascii="Times New Roman" w:eastAsiaTheme="minorEastAsia"/>
                <w:color w:val="auto"/>
                <w:vertAlign w:val="superscript"/>
              </w:rPr>
              <w:t>-7</w:t>
            </w:r>
            <w:r>
              <w:rPr>
                <w:rStyle w:val="37"/>
                <w:rFonts w:hint="default" w:ascii="Times New Roman"/>
                <w:color w:val="auto"/>
              </w:rPr>
              <w:t>cm/s</w:t>
            </w:r>
            <w:r>
              <w:rPr>
                <w:rStyle w:val="47"/>
                <w:rFonts w:hint="default" w:ascii="Times New Roman"/>
                <w:color w:val="auto"/>
              </w:rPr>
              <w:t>；或参照</w:t>
            </w:r>
            <w:r>
              <w:rPr>
                <w:rStyle w:val="37"/>
                <w:rFonts w:hint="default" w:ascii="Times New Roman"/>
                <w:color w:val="auto"/>
              </w:rPr>
              <w:t>GB18598</w:t>
            </w:r>
            <w:r>
              <w:rPr>
                <w:rStyle w:val="47"/>
                <w:rFonts w:hint="default" w:ascii="Times New Roman"/>
                <w:color w:val="auto"/>
              </w:rPr>
              <w:t>执行；本项目重点防渗区为药品库。</w:t>
            </w:r>
          </w:p>
          <w:p>
            <w:pPr>
              <w:pStyle w:val="25"/>
              <w:ind w:firstLine="480"/>
              <w:rPr>
                <w:rStyle w:val="47"/>
                <w:rFonts w:hint="default" w:ascii="Times New Roman"/>
                <w:color w:val="auto"/>
              </w:rPr>
            </w:pPr>
            <w:r>
              <w:rPr>
                <w:rStyle w:val="47"/>
                <w:rFonts w:hint="default" w:ascii="Times New Roman"/>
                <w:color w:val="auto"/>
              </w:rPr>
              <w:t>一般防渗区：等效粘土防渗层</w:t>
            </w:r>
            <w:r>
              <w:rPr>
                <w:rStyle w:val="37"/>
                <w:rFonts w:hint="default" w:ascii="Times New Roman"/>
                <w:color w:val="auto"/>
              </w:rPr>
              <w:t>Mb</w:t>
            </w:r>
            <w:r>
              <w:rPr>
                <w:rStyle w:val="47"/>
                <w:rFonts w:hint="default"/>
                <w:color w:val="auto"/>
              </w:rPr>
              <w:t>≧</w:t>
            </w:r>
            <w:r>
              <w:rPr>
                <w:rStyle w:val="37"/>
                <w:rFonts w:hint="default" w:ascii="Times New Roman"/>
                <w:color w:val="auto"/>
              </w:rPr>
              <w:t>1.5m</w:t>
            </w:r>
            <w:r>
              <w:rPr>
                <w:rStyle w:val="47"/>
                <w:rFonts w:hint="default" w:ascii="Times New Roman"/>
                <w:color w:val="auto"/>
              </w:rPr>
              <w:t>，渗透系数</w:t>
            </w:r>
            <w:r>
              <w:rPr>
                <w:rStyle w:val="47"/>
                <w:rFonts w:hint="default" w:ascii="Times New Roman" w:hAnsi="Times New Roman"/>
                <w:color w:val="auto"/>
              </w:rPr>
              <w:t>≤</w:t>
            </w:r>
            <w:r>
              <w:rPr>
                <w:rStyle w:val="37"/>
                <w:rFonts w:hint="default" w:ascii="Times New Roman"/>
                <w:color w:val="auto"/>
              </w:rPr>
              <w:t>1.0</w:t>
            </w:r>
            <w:r>
              <w:rPr>
                <w:rStyle w:val="47"/>
                <w:rFonts w:hint="default" w:ascii="Times New Roman" w:hAnsi="Times New Roman"/>
                <w:color w:val="auto"/>
              </w:rPr>
              <w:t>×</w:t>
            </w:r>
            <w:r>
              <w:rPr>
                <w:rStyle w:val="37"/>
                <w:rFonts w:hint="default" w:ascii="Times New Roman"/>
                <w:color w:val="auto"/>
              </w:rPr>
              <w:t>10</w:t>
            </w:r>
            <w:r>
              <w:rPr>
                <w:rStyle w:val="37"/>
                <w:rFonts w:hint="default" w:ascii="Times New Roman"/>
                <w:color w:val="auto"/>
                <w:sz w:val="16"/>
                <w:szCs w:val="16"/>
              </w:rPr>
              <w:t>-7</w:t>
            </w:r>
            <w:r>
              <w:rPr>
                <w:rStyle w:val="37"/>
                <w:rFonts w:hint="default" w:ascii="Times New Roman"/>
                <w:color w:val="auto"/>
              </w:rPr>
              <w:t>cm/s</w:t>
            </w:r>
            <w:r>
              <w:rPr>
                <w:rStyle w:val="47"/>
                <w:rFonts w:hint="default" w:ascii="Times New Roman"/>
                <w:color w:val="auto"/>
              </w:rPr>
              <w:t>；或参照</w:t>
            </w:r>
            <w:r>
              <w:rPr>
                <w:rStyle w:val="37"/>
                <w:rFonts w:hint="default" w:ascii="Times New Roman"/>
                <w:color w:val="auto"/>
              </w:rPr>
              <w:t>GB18598</w:t>
            </w:r>
            <w:r>
              <w:rPr>
                <w:rStyle w:val="47"/>
                <w:rFonts w:hint="default" w:ascii="Times New Roman"/>
                <w:color w:val="auto"/>
              </w:rPr>
              <w:t>执行；本项目一般防渗区包括热风炉房、机械库、化粪池、灰库等区域。</w:t>
            </w:r>
          </w:p>
          <w:p>
            <w:pPr>
              <w:pStyle w:val="25"/>
              <w:ind w:firstLine="480"/>
              <w:rPr>
                <w:rStyle w:val="47"/>
                <w:rFonts w:hint="default" w:ascii="Times New Roman" w:hAnsi="Times New Roman"/>
                <w:color w:val="auto"/>
              </w:rPr>
            </w:pPr>
            <w:r>
              <w:rPr>
                <w:rStyle w:val="47"/>
                <w:rFonts w:hint="default" w:ascii="Times New Roman"/>
                <w:color w:val="auto"/>
              </w:rPr>
              <w:t>简单防渗区：一般地面硬化；本项目简单防渗区包括烘干中心、平方仓、业务用房、食堂、一站式服务中心。</w:t>
            </w:r>
          </w:p>
          <w:p>
            <w:pPr>
              <w:pStyle w:val="25"/>
              <w:ind w:firstLine="480"/>
            </w:pPr>
            <w:r>
              <w:rPr>
                <w:rStyle w:val="47"/>
                <w:rFonts w:hint="default" w:ascii="Times New Roman"/>
                <w:color w:val="auto"/>
              </w:rPr>
              <w:t>在采取以上污染防治措施后，本项目对地下水、土壤环境的影响较小。</w:t>
            </w:r>
          </w:p>
          <w:p>
            <w:pPr>
              <w:pStyle w:val="25"/>
              <w:ind w:firstLine="482"/>
              <w:rPr>
                <w:rFonts w:cs="宋体"/>
                <w:b/>
              </w:rPr>
            </w:pPr>
            <w:r>
              <w:rPr>
                <w:rFonts w:hint="eastAsia" w:cs="宋体"/>
                <w:b/>
              </w:rPr>
              <w:t>6、环境风险</w:t>
            </w:r>
            <w:r>
              <w:rPr>
                <w:b/>
                <w:bCs/>
              </w:rPr>
              <w:t>影响分析</w:t>
            </w:r>
          </w:p>
          <w:p>
            <w:pPr>
              <w:pStyle w:val="25"/>
              <w:ind w:firstLine="480"/>
              <w:rPr>
                <w:rFonts w:cs="宋体"/>
              </w:rPr>
            </w:pPr>
            <w:r>
              <w:rPr>
                <w:rFonts w:hint="eastAsia" w:cs="宋体"/>
              </w:rPr>
              <w:t>本项目使用的杀虫剂</w:t>
            </w:r>
            <w:r>
              <w:rPr>
                <w:rFonts w:hint="eastAsia" w:eastAsiaTheme="minorEastAsia"/>
                <w:kern w:val="2"/>
              </w:rPr>
              <w:t>甲基嘧啶磷，经与《建设项目环境风险评价技术导则》（HJ 169-2018）附录B对比，不属于突发环境事件风险物质。所以不进行杀虫剂甲基嘧啶磷环境影响风险评价。</w:t>
            </w:r>
          </w:p>
          <w:p>
            <w:pPr>
              <w:pStyle w:val="25"/>
              <w:ind w:firstLine="480"/>
              <w:rPr>
                <w:rFonts w:cs="宋体"/>
              </w:rPr>
            </w:pPr>
            <w:r>
              <w:rPr>
                <w:rFonts w:cs="宋体"/>
              </w:rPr>
              <w:t>本项目投入使用后，其本身不会对环境产生明显的风险影响，风险主要体现在</w:t>
            </w:r>
            <w:r>
              <w:rPr>
                <w:rFonts w:hint="eastAsia" w:cs="宋体"/>
              </w:rPr>
              <w:t>烘干产生粉尘及仓储产生粉</w:t>
            </w:r>
            <w:r>
              <w:rPr>
                <w:rFonts w:cs="宋体"/>
              </w:rPr>
              <w:t>尘爆炸风险。</w:t>
            </w:r>
          </w:p>
          <w:p>
            <w:pPr>
              <w:pStyle w:val="25"/>
              <w:ind w:firstLine="480"/>
              <w:rPr>
                <w:rFonts w:cs="宋体"/>
              </w:rPr>
            </w:pPr>
            <w:r>
              <w:rPr>
                <w:rFonts w:cs="宋体"/>
              </w:rPr>
              <w:t>（1）风险评价等级</w:t>
            </w:r>
          </w:p>
          <w:p>
            <w:pPr>
              <w:pStyle w:val="25"/>
              <w:ind w:firstLine="480"/>
              <w:rPr>
                <w:rFonts w:cs="宋体"/>
                <w:bCs/>
              </w:rPr>
            </w:pPr>
            <w:r>
              <w:rPr>
                <w:rFonts w:cs="宋体"/>
                <w:bCs/>
              </w:rPr>
              <w:t>根据《建设项目环境风险评价技术导则》（HJ169-2018）附录B和《危险化学品重大危险源辨识》（GB18218-2018），本项目不属于重大危险源，无储存临界量要求。根据《建设项目环境风险评价技术导则》（HJ169-2018）附录B.2，本项目无推荐临界量。判定该项目环境风险潜势为</w:t>
            </w:r>
            <w:r>
              <w:rPr>
                <w:rFonts w:hint="eastAsia" w:ascii="宋体" w:hAnsi="宋体" w:cs="宋体"/>
                <w:bCs/>
              </w:rPr>
              <w:t>Ⅰ</w:t>
            </w:r>
            <w:r>
              <w:rPr>
                <w:rFonts w:cs="宋体"/>
                <w:bCs/>
              </w:rPr>
              <w:t>。</w:t>
            </w:r>
          </w:p>
          <w:p>
            <w:pPr>
              <w:pStyle w:val="36"/>
              <w:spacing w:before="96" w:after="24"/>
              <w:rPr>
                <w:kern w:val="0"/>
              </w:rPr>
            </w:pPr>
            <w:r>
              <w:rPr>
                <w:kern w:val="0"/>
              </w:rPr>
              <w:t>表2</w:t>
            </w:r>
            <w:r>
              <w:rPr>
                <w:rFonts w:hint="eastAsia"/>
                <w:kern w:val="0"/>
              </w:rPr>
              <w:t>2</w:t>
            </w:r>
            <w:r>
              <w:rPr>
                <w:kern w:val="0"/>
              </w:rPr>
              <w:t xml:space="preserve">   评价工作等级划分</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825"/>
              <w:gridCol w:w="1339"/>
              <w:gridCol w:w="1826"/>
              <w:gridCol w:w="1218"/>
              <w:gridCol w:w="17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09" w:hRule="atLeast"/>
                <w:jc w:val="center"/>
              </w:trPr>
              <w:tc>
                <w:tcPr>
                  <w:tcW w:w="1149" w:type="pct"/>
                  <w:vAlign w:val="center"/>
                </w:tcPr>
                <w:p>
                  <w:pPr>
                    <w:pStyle w:val="57"/>
                    <w:bidi w:val="0"/>
                  </w:pPr>
                  <w:r>
                    <w:t>环境风险潜势</w:t>
                  </w:r>
                </w:p>
              </w:tc>
              <w:tc>
                <w:tcPr>
                  <w:tcW w:w="843" w:type="pct"/>
                  <w:vAlign w:val="center"/>
                </w:tcPr>
                <w:p>
                  <w:pPr>
                    <w:pStyle w:val="57"/>
                    <w:bidi w:val="0"/>
                  </w:pPr>
                  <w:r>
                    <w:rPr>
                      <w:rFonts w:hint="eastAsia"/>
                    </w:rPr>
                    <w:t>Ⅳ</w:t>
                  </w:r>
                  <w:r>
                    <w:t>、</w:t>
                  </w:r>
                  <w:r>
                    <w:rPr>
                      <w:rFonts w:hint="eastAsia"/>
                    </w:rPr>
                    <w:t>Ⅳ</w:t>
                  </w:r>
                  <w:r>
                    <w:rPr>
                      <w:vertAlign w:val="superscript"/>
                    </w:rPr>
                    <w:t>+</w:t>
                  </w:r>
                </w:p>
              </w:tc>
              <w:tc>
                <w:tcPr>
                  <w:tcW w:w="1150" w:type="pct"/>
                  <w:vAlign w:val="center"/>
                </w:tcPr>
                <w:p>
                  <w:pPr>
                    <w:pStyle w:val="57"/>
                    <w:bidi w:val="0"/>
                  </w:pPr>
                  <w:r>
                    <w:rPr>
                      <w:rFonts w:hint="eastAsia"/>
                    </w:rPr>
                    <w:t>Ⅲ</w:t>
                  </w:r>
                </w:p>
              </w:tc>
              <w:tc>
                <w:tcPr>
                  <w:tcW w:w="767" w:type="pct"/>
                  <w:vAlign w:val="center"/>
                </w:tcPr>
                <w:p>
                  <w:pPr>
                    <w:pStyle w:val="57"/>
                    <w:bidi w:val="0"/>
                  </w:pPr>
                  <w:r>
                    <w:rPr>
                      <w:rFonts w:hint="eastAsia"/>
                    </w:rPr>
                    <w:t>Ⅱ</w:t>
                  </w:r>
                </w:p>
              </w:tc>
              <w:tc>
                <w:tcPr>
                  <w:tcW w:w="1091" w:type="pct"/>
                  <w:vAlign w:val="center"/>
                </w:tcPr>
                <w:p>
                  <w:pPr>
                    <w:pStyle w:val="57"/>
                    <w:bidi w:val="0"/>
                  </w:pPr>
                  <w:r>
                    <w:rPr>
                      <w:rFonts w:hint="eastAsia"/>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62" w:hRule="atLeast"/>
                <w:jc w:val="center"/>
              </w:trPr>
              <w:tc>
                <w:tcPr>
                  <w:tcW w:w="1149" w:type="pct"/>
                  <w:vAlign w:val="center"/>
                </w:tcPr>
                <w:p>
                  <w:pPr>
                    <w:pStyle w:val="57"/>
                    <w:bidi w:val="0"/>
                  </w:pPr>
                  <w:r>
                    <w:t>评价工作等级</w:t>
                  </w:r>
                </w:p>
              </w:tc>
              <w:tc>
                <w:tcPr>
                  <w:tcW w:w="843" w:type="pct"/>
                  <w:vAlign w:val="center"/>
                </w:tcPr>
                <w:p>
                  <w:pPr>
                    <w:pStyle w:val="57"/>
                    <w:bidi w:val="0"/>
                  </w:pPr>
                  <w:r>
                    <w:t>一</w:t>
                  </w:r>
                </w:p>
              </w:tc>
              <w:tc>
                <w:tcPr>
                  <w:tcW w:w="1150" w:type="pct"/>
                  <w:vAlign w:val="center"/>
                </w:tcPr>
                <w:p>
                  <w:pPr>
                    <w:pStyle w:val="57"/>
                    <w:bidi w:val="0"/>
                  </w:pPr>
                  <w:r>
                    <w:t>二</w:t>
                  </w:r>
                </w:p>
              </w:tc>
              <w:tc>
                <w:tcPr>
                  <w:tcW w:w="767" w:type="pct"/>
                  <w:vAlign w:val="center"/>
                </w:tcPr>
                <w:p>
                  <w:pPr>
                    <w:pStyle w:val="57"/>
                    <w:bidi w:val="0"/>
                  </w:pPr>
                  <w:r>
                    <w:t>三</w:t>
                  </w:r>
                </w:p>
              </w:tc>
              <w:tc>
                <w:tcPr>
                  <w:tcW w:w="1091" w:type="pct"/>
                  <w:vAlign w:val="center"/>
                </w:tcPr>
                <w:p>
                  <w:pPr>
                    <w:pStyle w:val="57"/>
                    <w:bidi w:val="0"/>
                  </w:pPr>
                  <w:r>
                    <w:t>简单分析</w:t>
                  </w:r>
                </w:p>
              </w:tc>
            </w:tr>
          </w:tbl>
          <w:p>
            <w:pPr>
              <w:pStyle w:val="25"/>
              <w:ind w:firstLine="480"/>
              <w:rPr>
                <w:rFonts w:cs="宋体"/>
              </w:rPr>
            </w:pPr>
            <w:r>
              <w:rPr>
                <w:rFonts w:cs="宋体"/>
              </w:rPr>
              <w:t>本项目不涉及有毒有害危险化学品的使用，项目周边属于环境低敏感区，判定本项目风险评价等级为简单分析。</w:t>
            </w:r>
          </w:p>
          <w:p>
            <w:pPr>
              <w:pStyle w:val="25"/>
              <w:ind w:firstLine="480"/>
              <w:rPr>
                <w:rFonts w:cs="宋体"/>
                <w:bCs/>
              </w:rPr>
            </w:pPr>
            <w:r>
              <w:rPr>
                <w:rFonts w:cs="宋体"/>
              </w:rPr>
              <w:t>（2）风险源识别</w:t>
            </w:r>
          </w:p>
          <w:p>
            <w:pPr>
              <w:pStyle w:val="25"/>
              <w:ind w:firstLine="480"/>
              <w:rPr>
                <w:rFonts w:cs="宋体"/>
                <w:bCs/>
              </w:rPr>
            </w:pPr>
            <w:r>
              <w:rPr>
                <w:rFonts w:cs="宋体"/>
                <w:bCs/>
              </w:rPr>
              <w:t>同瓦斯爆炸相似，</w:t>
            </w:r>
            <w:r>
              <w:rPr>
                <w:rFonts w:hint="eastAsia" w:cs="宋体"/>
                <w:bCs/>
              </w:rPr>
              <w:t>粉</w:t>
            </w:r>
            <w:r>
              <w:rPr>
                <w:rFonts w:cs="宋体"/>
                <w:bCs/>
              </w:rPr>
              <w:t>尘爆炸后可产生高温、高压，形成冲击波和火焰，并产生大量的有害气体等。主要后果如下：</w:t>
            </w:r>
          </w:p>
          <w:p>
            <w:pPr>
              <w:pStyle w:val="25"/>
              <w:ind w:firstLine="480"/>
              <w:rPr>
                <w:rFonts w:cs="宋体"/>
              </w:rPr>
            </w:pPr>
            <w:r>
              <w:rPr>
                <w:rFonts w:hint="eastAsia" w:ascii="宋体" w:hAnsi="宋体" w:cs="宋体"/>
              </w:rPr>
              <w:t>①</w:t>
            </w:r>
            <w:r>
              <w:rPr>
                <w:rFonts w:cs="宋体"/>
              </w:rPr>
              <w:t>爆炸产生高温。</w:t>
            </w:r>
            <w:r>
              <w:rPr>
                <w:rFonts w:hint="eastAsia" w:cs="宋体"/>
                <w:bCs/>
              </w:rPr>
              <w:t>粉</w:t>
            </w:r>
            <w:r>
              <w:rPr>
                <w:rFonts w:cs="宋体"/>
              </w:rPr>
              <w:t>尘爆炸时要释放出大量的热能。据理论计算及实际测量，爆炸瞬时的温度可达2300-2500</w:t>
            </w:r>
            <w:r>
              <w:rPr>
                <w:rFonts w:hint="eastAsia" w:ascii="宋体" w:hAnsi="宋体" w:cs="宋体"/>
              </w:rPr>
              <w:t>℃</w:t>
            </w:r>
            <w:r>
              <w:rPr>
                <w:rFonts w:cs="宋体"/>
              </w:rPr>
              <w:t>。高温能引起火灾、烧毁设备、烧伤人员，也是引起连续爆炸的主要热源。</w:t>
            </w:r>
          </w:p>
          <w:p>
            <w:pPr>
              <w:pStyle w:val="25"/>
              <w:ind w:firstLine="480"/>
              <w:rPr>
                <w:rFonts w:cs="宋体"/>
              </w:rPr>
            </w:pPr>
            <w:r>
              <w:rPr>
                <w:rFonts w:cs="宋体"/>
              </w:rPr>
              <w:fldChar w:fldCharType="begin"/>
            </w:r>
            <w:r>
              <w:rPr>
                <w:rFonts w:cs="宋体"/>
              </w:rPr>
              <w:instrText xml:space="preserve"> = 2 \* GB3 </w:instrText>
            </w:r>
            <w:r>
              <w:rPr>
                <w:rFonts w:cs="宋体"/>
              </w:rPr>
              <w:fldChar w:fldCharType="separate"/>
            </w:r>
            <w:r>
              <w:rPr>
                <w:rFonts w:hint="eastAsia" w:ascii="宋体" w:hAnsi="宋体" w:cs="宋体"/>
              </w:rPr>
              <w:t>②</w:t>
            </w:r>
            <w:r>
              <w:rPr>
                <w:rFonts w:cs="宋体"/>
              </w:rPr>
              <w:fldChar w:fldCharType="end"/>
            </w:r>
            <w:r>
              <w:rPr>
                <w:rFonts w:cs="宋体"/>
              </w:rPr>
              <w:t>爆炸产生高压。</w:t>
            </w:r>
            <w:r>
              <w:rPr>
                <w:rFonts w:hint="eastAsia" w:cs="宋体"/>
                <w:bCs/>
              </w:rPr>
              <w:t>粉</w:t>
            </w:r>
            <w:r>
              <w:rPr>
                <w:rFonts w:cs="宋体"/>
              </w:rPr>
              <w:t>尘爆炸的理论压力为735.3kPa，但实际发生爆炸时往往超过此值，爆炸压力可损坏设备、推到支架、造成冒顶和人员伤亡。</w:t>
            </w:r>
          </w:p>
          <w:p>
            <w:pPr>
              <w:pStyle w:val="25"/>
              <w:ind w:firstLine="480"/>
              <w:rPr>
                <w:rFonts w:cs="宋体"/>
              </w:rPr>
            </w:pPr>
            <w:r>
              <w:rPr>
                <w:rFonts w:cs="宋体"/>
              </w:rPr>
              <w:fldChar w:fldCharType="begin"/>
            </w:r>
            <w:r>
              <w:rPr>
                <w:rFonts w:cs="宋体"/>
              </w:rPr>
              <w:instrText xml:space="preserve"> = 3 \* GB3 </w:instrText>
            </w:r>
            <w:r>
              <w:rPr>
                <w:rFonts w:cs="宋体"/>
              </w:rPr>
              <w:fldChar w:fldCharType="separate"/>
            </w:r>
            <w:r>
              <w:rPr>
                <w:rFonts w:hint="eastAsia" w:ascii="宋体" w:hAnsi="宋体" w:cs="宋体"/>
              </w:rPr>
              <w:t>③</w:t>
            </w:r>
            <w:r>
              <w:rPr>
                <w:rFonts w:cs="宋体"/>
              </w:rPr>
              <w:fldChar w:fldCharType="end"/>
            </w:r>
            <w:r>
              <w:rPr>
                <w:rFonts w:cs="宋体"/>
              </w:rPr>
              <w:t>爆炸产生击破。</w:t>
            </w:r>
            <w:r>
              <w:rPr>
                <w:rFonts w:hint="eastAsia" w:cs="宋体"/>
                <w:bCs/>
              </w:rPr>
              <w:t>粉</w:t>
            </w:r>
            <w:r>
              <w:rPr>
                <w:rFonts w:cs="宋体"/>
              </w:rPr>
              <w:t>尘爆炸时产生的高温火焰传播速度为610-1800m/s，伴随着火焰的传播，还将产生强大的冲击波，速度为2340m/s。冲击波不仅能使设备、支架、人员等遭受损坏，还能够点燃途径巷道内的积尘，造成二次、三次的连续爆炸事故。</w:t>
            </w:r>
          </w:p>
          <w:p>
            <w:pPr>
              <w:pStyle w:val="25"/>
              <w:ind w:firstLine="480"/>
              <w:rPr>
                <w:rFonts w:cs="宋体"/>
              </w:rPr>
            </w:pPr>
            <w:r>
              <w:rPr>
                <w:rFonts w:cs="宋体"/>
              </w:rPr>
              <w:fldChar w:fldCharType="begin"/>
            </w:r>
            <w:r>
              <w:rPr>
                <w:rFonts w:cs="宋体"/>
              </w:rPr>
              <w:instrText xml:space="preserve"> = 4 \* GB3 </w:instrText>
            </w:r>
            <w:r>
              <w:rPr>
                <w:rFonts w:cs="宋体"/>
              </w:rPr>
              <w:fldChar w:fldCharType="separate"/>
            </w:r>
            <w:r>
              <w:rPr>
                <w:rFonts w:hint="eastAsia" w:ascii="宋体" w:hAnsi="宋体" w:cs="宋体"/>
              </w:rPr>
              <w:t>④</w:t>
            </w:r>
            <w:r>
              <w:rPr>
                <w:rFonts w:cs="宋体"/>
              </w:rPr>
              <w:fldChar w:fldCharType="end"/>
            </w:r>
            <w:r>
              <w:rPr>
                <w:rFonts w:cs="宋体"/>
              </w:rPr>
              <w:t>爆炸产生有害气体。</w:t>
            </w:r>
            <w:r>
              <w:rPr>
                <w:rFonts w:hint="eastAsia" w:cs="宋体"/>
                <w:bCs/>
              </w:rPr>
              <w:t>粉</w:t>
            </w:r>
            <w:r>
              <w:rPr>
                <w:rFonts w:cs="宋体"/>
              </w:rPr>
              <w:t>尘爆炸能够产生具有强烈毒性的一氧化碳，其浓度一般为2%-3%，最高可达8%-10%。这是</w:t>
            </w:r>
            <w:r>
              <w:rPr>
                <w:rFonts w:hint="eastAsia" w:cs="宋体"/>
                <w:bCs/>
              </w:rPr>
              <w:t>粉</w:t>
            </w:r>
            <w:r>
              <w:rPr>
                <w:rFonts w:cs="宋体"/>
              </w:rPr>
              <w:t>尘爆炸或煤尘参与爆炸造成大量人员伤亡的主要原因。据经验数据，100m</w:t>
            </w:r>
            <w:r>
              <w:rPr>
                <w:rFonts w:cs="宋体"/>
                <w:vertAlign w:val="superscript"/>
              </w:rPr>
              <w:t>3</w:t>
            </w:r>
            <w:r>
              <w:rPr>
                <w:rFonts w:cs="宋体"/>
              </w:rPr>
              <w:t>粉</w:t>
            </w:r>
            <w:r>
              <w:rPr>
                <w:rFonts w:hint="eastAsia" w:cs="宋体"/>
              </w:rPr>
              <w:t>尘</w:t>
            </w:r>
            <w:r>
              <w:rPr>
                <w:rFonts w:cs="宋体"/>
              </w:rPr>
              <w:t>爆炸后产生CO39L，NO21.8L，经计算本项目储煤库体积为8.736万m</w:t>
            </w:r>
            <w:r>
              <w:rPr>
                <w:rFonts w:cs="宋体"/>
                <w:vertAlign w:val="superscript"/>
              </w:rPr>
              <w:t>3</w:t>
            </w:r>
            <w:r>
              <w:rPr>
                <w:rFonts w:cs="宋体"/>
              </w:rPr>
              <w:t>（按最大储存量计算），爆炸后产生的CO：0.528g，NO：0.624kg。爆炸产生的有害气体较小，对周围环境影响较小。</w:t>
            </w:r>
          </w:p>
          <w:p>
            <w:pPr>
              <w:pStyle w:val="25"/>
              <w:ind w:firstLine="480"/>
              <w:rPr>
                <w:rFonts w:cs="宋体"/>
              </w:rPr>
            </w:pPr>
            <w:r>
              <w:rPr>
                <w:rFonts w:cs="宋体"/>
              </w:rPr>
              <w:t>（3）环境风险影响分析</w:t>
            </w:r>
          </w:p>
          <w:p>
            <w:pPr>
              <w:pStyle w:val="25"/>
              <w:ind w:firstLine="480"/>
              <w:rPr>
                <w:rFonts w:cs="宋体"/>
              </w:rPr>
            </w:pPr>
            <w:r>
              <w:rPr>
                <w:rFonts w:cs="宋体"/>
              </w:rPr>
              <w:t>粉尘爆炸会对周围环境产生显著影响，影响范围可达2-3km。本项目</w:t>
            </w:r>
            <w:r>
              <w:rPr>
                <w:rFonts w:hint="eastAsia" w:cs="宋体"/>
              </w:rPr>
              <w:t>仓</w:t>
            </w:r>
            <w:r>
              <w:rPr>
                <w:rFonts w:cs="宋体"/>
              </w:rPr>
              <w:t>库内设置</w:t>
            </w:r>
            <w:r>
              <w:rPr>
                <w:rFonts w:hint="eastAsia" w:cs="宋体"/>
              </w:rPr>
              <w:t>自然通风</w:t>
            </w:r>
            <w:r>
              <w:rPr>
                <w:rFonts w:cs="宋体"/>
              </w:rPr>
              <w:t>，可有效抑制</w:t>
            </w:r>
            <w:r>
              <w:rPr>
                <w:rFonts w:hint="eastAsia" w:cs="宋体"/>
              </w:rPr>
              <w:t>粉</w:t>
            </w:r>
            <w:r>
              <w:rPr>
                <w:rFonts w:cs="宋体"/>
              </w:rPr>
              <w:t>尘的产生。</w:t>
            </w:r>
          </w:p>
          <w:p>
            <w:pPr>
              <w:pStyle w:val="25"/>
              <w:ind w:firstLine="480"/>
              <w:rPr>
                <w:rFonts w:cs="宋体"/>
              </w:rPr>
            </w:pPr>
            <w:r>
              <w:rPr>
                <w:rFonts w:hint="eastAsia" w:cs="宋体"/>
              </w:rPr>
              <w:t>仓</w:t>
            </w:r>
            <w:r>
              <w:rPr>
                <w:rFonts w:cs="宋体"/>
              </w:rPr>
              <w:t>库发生事故后（火灾或爆炸），现场班长应立即组织现场人员进行自救和互救，同时立即向总调度室汇报，总调度室要按照应急程序和有关规定快速逐级上报，应急救援指挥部立即投入工作，迅速开展抢险救助等工作。调度室接到事故汇报后，立即按照预案规定事故电话通知顺序通知各领导和有关单位，通知受威胁地点的人员撤离，通知救援人员前往营救，重特大事故应立即向上级单位汇报事故情况。对人员营救要利用专业工具，接近人员位置尽量用手或软东西清理，以防伤人，设置警戒，同时拨打“120”急救电话，请求救援。应急救援指挥部立即投入工作，派遣救护小分队进行灾情侦察、人员救治，进行灾情初步评估，根据灾情定制救援方案，救援队现场抢险救灾直至灾情消除、恢复正常生产。</w:t>
            </w:r>
          </w:p>
          <w:p>
            <w:pPr>
              <w:pStyle w:val="25"/>
              <w:ind w:firstLine="480"/>
              <w:rPr>
                <w:rFonts w:cs="宋体"/>
              </w:rPr>
            </w:pPr>
            <w:r>
              <w:rPr>
                <w:rFonts w:cs="宋体"/>
              </w:rPr>
              <w:t>（4）环境风险评价结论</w:t>
            </w:r>
          </w:p>
          <w:p>
            <w:pPr>
              <w:pStyle w:val="25"/>
              <w:ind w:firstLine="480"/>
              <w:rPr>
                <w:rFonts w:cs="宋体"/>
              </w:rPr>
            </w:pPr>
            <w:r>
              <w:rPr>
                <w:rFonts w:cs="宋体"/>
              </w:rPr>
              <w:t>本项目发生重大事故时对厂区外的危害相对较轻，火灾、爆炸等重大事故发生时一般只对厂区内人员及财产影响较大。加强安全管理是防范重大事故的有效途径，建立有效的应急预案可降低重大事故的损失。通过采取各方面的安全防范措施后，风险能降到可接受水平。</w:t>
            </w:r>
          </w:p>
          <w:p>
            <w:pPr>
              <w:pStyle w:val="31"/>
              <w:ind w:firstLine="482"/>
              <w:rPr>
                <w:rFonts w:eastAsiaTheme="minorEastAsia"/>
                <w:b/>
                <w:color w:val="auto"/>
              </w:rPr>
            </w:pPr>
            <w:r>
              <w:rPr>
                <w:rFonts w:hint="eastAsia" w:eastAsiaTheme="minorEastAsia"/>
                <w:b/>
                <w:color w:val="auto"/>
              </w:rPr>
              <w:t>7</w:t>
            </w:r>
            <w:r>
              <w:rPr>
                <w:rFonts w:eastAsiaTheme="minorEastAsia"/>
                <w:b/>
                <w:color w:val="auto"/>
              </w:rPr>
              <w:t>、环境监测计划</w:t>
            </w:r>
          </w:p>
          <w:p>
            <w:pPr>
              <w:pStyle w:val="31"/>
              <w:ind w:firstLine="480"/>
              <w:rPr>
                <w:rFonts w:eastAsiaTheme="minorEastAsia"/>
                <w:color w:val="auto"/>
              </w:rPr>
            </w:pPr>
            <w:r>
              <w:rPr>
                <w:rFonts w:eastAsiaTheme="minorEastAsia"/>
                <w:color w:val="auto"/>
              </w:rPr>
              <w:t>根据《排污单位自行监测技术指南总则》（HJ819-2017）、《排污单位自行监测技术指南 火力发电及热风炉》（HJ820-2017）确定本项目运营期监测内容及频次。</w:t>
            </w:r>
          </w:p>
          <w:p>
            <w:pPr>
              <w:pStyle w:val="31"/>
              <w:ind w:firstLine="480"/>
              <w:rPr>
                <w:rFonts w:eastAsiaTheme="minorEastAsia"/>
                <w:color w:val="auto"/>
              </w:rPr>
            </w:pPr>
            <w:r>
              <w:rPr>
                <w:rFonts w:eastAsiaTheme="minorEastAsia"/>
                <w:color w:val="auto"/>
              </w:rPr>
              <w:t>本项目建成投产后监测项目和内容见下表。</w:t>
            </w:r>
          </w:p>
          <w:p>
            <w:pPr>
              <w:pStyle w:val="39"/>
              <w:rPr>
                <w:rFonts w:eastAsiaTheme="minorEastAsia"/>
              </w:rPr>
            </w:pPr>
            <w:r>
              <w:rPr>
                <w:rFonts w:eastAsiaTheme="minorEastAsia"/>
              </w:rPr>
              <w:t>表</w:t>
            </w:r>
            <w:r>
              <w:rPr>
                <w:rFonts w:hint="eastAsia" w:eastAsiaTheme="minorEastAsia"/>
              </w:rPr>
              <w:t>23</w:t>
            </w:r>
            <w:r>
              <w:rPr>
                <w:rFonts w:eastAsiaTheme="minorEastAsia"/>
              </w:rPr>
              <w:t xml:space="preserve">    运营期环境监测一览表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1601"/>
              <w:gridCol w:w="1884"/>
              <w:gridCol w:w="1072"/>
              <w:gridCol w:w="26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blHeader/>
                <w:jc w:val="center"/>
              </w:trPr>
              <w:tc>
                <w:tcPr>
                  <w:tcW w:w="465" w:type="pct"/>
                  <w:vAlign w:val="center"/>
                </w:tcPr>
                <w:p>
                  <w:pPr>
                    <w:pStyle w:val="60"/>
                    <w:rPr>
                      <w:rFonts w:eastAsiaTheme="minorEastAsia"/>
                    </w:rPr>
                  </w:pPr>
                  <w:r>
                    <w:rPr>
                      <w:rFonts w:eastAsiaTheme="minorEastAsia"/>
                    </w:rPr>
                    <w:t>内容</w:t>
                  </w:r>
                </w:p>
              </w:tc>
              <w:tc>
                <w:tcPr>
                  <w:tcW w:w="1008" w:type="pct"/>
                  <w:vAlign w:val="center"/>
                </w:tcPr>
                <w:p>
                  <w:pPr>
                    <w:pStyle w:val="60"/>
                    <w:rPr>
                      <w:rFonts w:eastAsiaTheme="minorEastAsia"/>
                    </w:rPr>
                  </w:pPr>
                  <w:r>
                    <w:rPr>
                      <w:rFonts w:eastAsiaTheme="minorEastAsia"/>
                    </w:rPr>
                    <w:t>监测点位</w:t>
                  </w:r>
                </w:p>
              </w:tc>
              <w:tc>
                <w:tcPr>
                  <w:tcW w:w="1186" w:type="pct"/>
                  <w:vAlign w:val="center"/>
                </w:tcPr>
                <w:p>
                  <w:pPr>
                    <w:pStyle w:val="60"/>
                    <w:rPr>
                      <w:rFonts w:eastAsiaTheme="minorEastAsia"/>
                    </w:rPr>
                  </w:pPr>
                  <w:r>
                    <w:rPr>
                      <w:rFonts w:eastAsiaTheme="minorEastAsia"/>
                    </w:rPr>
                    <w:t>监测项目</w:t>
                  </w:r>
                </w:p>
              </w:tc>
              <w:tc>
                <w:tcPr>
                  <w:tcW w:w="675" w:type="pct"/>
                  <w:vAlign w:val="center"/>
                </w:tcPr>
                <w:p>
                  <w:pPr>
                    <w:pStyle w:val="60"/>
                    <w:rPr>
                      <w:rFonts w:eastAsiaTheme="minorEastAsia"/>
                    </w:rPr>
                  </w:pPr>
                  <w:r>
                    <w:rPr>
                      <w:rFonts w:eastAsiaTheme="minorEastAsia"/>
                    </w:rPr>
                    <w:t>监测频率</w:t>
                  </w:r>
                </w:p>
              </w:tc>
              <w:tc>
                <w:tcPr>
                  <w:tcW w:w="1665" w:type="pct"/>
                  <w:vAlign w:val="center"/>
                </w:tcPr>
                <w:p>
                  <w:pPr>
                    <w:pStyle w:val="60"/>
                    <w:rPr>
                      <w:rFonts w:eastAsiaTheme="minorEastAsia"/>
                    </w:rPr>
                  </w:pPr>
                  <w:r>
                    <w:rPr>
                      <w:rFonts w:eastAsiaTheme="minorEastAsia"/>
                    </w:rPr>
                    <w:t>控制标准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465" w:type="pct"/>
                  <w:vMerge w:val="restart"/>
                  <w:vAlign w:val="center"/>
                </w:tcPr>
                <w:p>
                  <w:pPr>
                    <w:pStyle w:val="60"/>
                    <w:rPr>
                      <w:rFonts w:eastAsiaTheme="minorEastAsia"/>
                    </w:rPr>
                  </w:pPr>
                  <w:r>
                    <w:rPr>
                      <w:rFonts w:eastAsiaTheme="minorEastAsia"/>
                    </w:rPr>
                    <w:t>废气</w:t>
                  </w:r>
                </w:p>
              </w:tc>
              <w:tc>
                <w:tcPr>
                  <w:tcW w:w="1008" w:type="pct"/>
                  <w:vMerge w:val="restart"/>
                  <w:vAlign w:val="center"/>
                </w:tcPr>
                <w:p>
                  <w:pPr>
                    <w:pStyle w:val="60"/>
                    <w:rPr>
                      <w:rFonts w:eastAsiaTheme="minorEastAsia"/>
                    </w:rPr>
                  </w:pPr>
                  <w:r>
                    <w:rPr>
                      <w:rFonts w:eastAsiaTheme="minorEastAsia"/>
                    </w:rPr>
                    <w:t>热风炉烟囱</w:t>
                  </w:r>
                </w:p>
              </w:tc>
              <w:tc>
                <w:tcPr>
                  <w:tcW w:w="1186" w:type="pct"/>
                  <w:tcBorders>
                    <w:bottom w:val="single" w:color="auto" w:sz="4" w:space="0"/>
                  </w:tcBorders>
                  <w:vAlign w:val="center"/>
                </w:tcPr>
                <w:p>
                  <w:pPr>
                    <w:pStyle w:val="60"/>
                    <w:rPr>
                      <w:rFonts w:eastAsiaTheme="minorEastAsia"/>
                    </w:rPr>
                  </w:pPr>
                  <w:r>
                    <w:rPr>
                      <w:rFonts w:eastAsiaTheme="minorEastAsia"/>
                    </w:rPr>
                    <w:t>NO</w:t>
                  </w:r>
                  <w:r>
                    <w:rPr>
                      <w:rFonts w:eastAsiaTheme="minorEastAsia"/>
                      <w:vertAlign w:val="subscript"/>
                    </w:rPr>
                    <w:t>X</w:t>
                  </w:r>
                </w:p>
              </w:tc>
              <w:tc>
                <w:tcPr>
                  <w:tcW w:w="675" w:type="pct"/>
                  <w:tcBorders>
                    <w:bottom w:val="single" w:color="auto" w:sz="4" w:space="0"/>
                  </w:tcBorders>
                  <w:vAlign w:val="center"/>
                </w:tcPr>
                <w:p>
                  <w:pPr>
                    <w:pStyle w:val="60"/>
                    <w:rPr>
                      <w:rFonts w:eastAsiaTheme="minorEastAsia"/>
                    </w:rPr>
                  </w:pPr>
                  <w:r>
                    <w:rPr>
                      <w:rFonts w:eastAsiaTheme="minorEastAsia"/>
                    </w:rPr>
                    <w:t>1次/月</w:t>
                  </w:r>
                </w:p>
              </w:tc>
              <w:tc>
                <w:tcPr>
                  <w:tcW w:w="1665" w:type="pct"/>
                  <w:vMerge w:val="restart"/>
                  <w:vAlign w:val="center"/>
                </w:tcPr>
                <w:p>
                  <w:pPr>
                    <w:pStyle w:val="60"/>
                    <w:jc w:val="both"/>
                    <w:rPr>
                      <w:rFonts w:eastAsiaTheme="minorEastAsia"/>
                    </w:rPr>
                  </w:pPr>
                  <w:r>
                    <w:rPr>
                      <w:rFonts w:hint="eastAsia" w:eastAsiaTheme="minorEastAsia"/>
                      <w:lang w:eastAsia="zh-CN"/>
                    </w:rPr>
                    <w:t>烟尘、二氧化硫、林格曼黑度执行《工业炉窑大气污染物排放标准》（</w:t>
                  </w:r>
                  <w:r>
                    <w:rPr>
                      <w:rFonts w:hint="eastAsia" w:eastAsiaTheme="minorEastAsia"/>
                      <w:lang w:val="en-US" w:eastAsia="zh-CN"/>
                    </w:rPr>
                    <w:t>GB9078-1996</w:t>
                  </w:r>
                  <w:r>
                    <w:rPr>
                      <w:rFonts w:hint="eastAsia" w:eastAsiaTheme="minorEastAsia"/>
                      <w:lang w:eastAsia="zh-CN"/>
                    </w:rPr>
                    <w:t>）中相关标准，氮氧化物执行</w:t>
                  </w:r>
                  <w:r>
                    <w:rPr>
                      <w:rFonts w:hint="default" w:eastAsiaTheme="minorEastAsia"/>
                    </w:rPr>
                    <w:t>《大气污染物综合排放标准》（GB16297-1996）表</w:t>
                  </w:r>
                  <w:r>
                    <w:rPr>
                      <w:rFonts w:hint="eastAsia" w:eastAsiaTheme="minorEastAsia"/>
                      <w:lang w:val="en-US" w:eastAsia="zh-CN"/>
                    </w:rPr>
                    <w:t>2中有组织限值。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465" w:type="pct"/>
                  <w:vMerge w:val="continue"/>
                  <w:vAlign w:val="center"/>
                </w:tcPr>
                <w:p>
                  <w:pPr>
                    <w:pStyle w:val="60"/>
                    <w:rPr>
                      <w:rFonts w:eastAsiaTheme="minorEastAsia"/>
                    </w:rPr>
                  </w:pPr>
                </w:p>
              </w:tc>
              <w:tc>
                <w:tcPr>
                  <w:tcW w:w="1008" w:type="pct"/>
                  <w:vMerge w:val="continue"/>
                  <w:tcBorders>
                    <w:bottom w:val="single" w:color="auto" w:sz="4" w:space="0"/>
                  </w:tcBorders>
                  <w:vAlign w:val="center"/>
                </w:tcPr>
                <w:p>
                  <w:pPr>
                    <w:pStyle w:val="60"/>
                    <w:rPr>
                      <w:rFonts w:eastAsiaTheme="minorEastAsia"/>
                    </w:rPr>
                  </w:pPr>
                </w:p>
              </w:tc>
              <w:tc>
                <w:tcPr>
                  <w:tcW w:w="1186" w:type="pct"/>
                  <w:tcBorders>
                    <w:bottom w:val="single" w:color="auto" w:sz="4" w:space="0"/>
                  </w:tcBorders>
                  <w:vAlign w:val="center"/>
                </w:tcPr>
                <w:p>
                  <w:pPr>
                    <w:pStyle w:val="60"/>
                    <w:rPr>
                      <w:rFonts w:eastAsiaTheme="minorEastAsia"/>
                    </w:rPr>
                  </w:pPr>
                  <w:r>
                    <w:rPr>
                      <w:rFonts w:eastAsiaTheme="minorEastAsia"/>
                    </w:rPr>
                    <w:t>颗粒物</w:t>
                  </w:r>
                </w:p>
                <w:p>
                  <w:pPr>
                    <w:pStyle w:val="60"/>
                    <w:rPr>
                      <w:rFonts w:eastAsiaTheme="minorEastAsia"/>
                      <w:vertAlign w:val="subscript"/>
                    </w:rPr>
                  </w:pPr>
                  <w:r>
                    <w:rPr>
                      <w:rFonts w:eastAsiaTheme="minorEastAsia"/>
                    </w:rPr>
                    <w:t>SO</w:t>
                  </w:r>
                  <w:r>
                    <w:rPr>
                      <w:rFonts w:eastAsiaTheme="minorEastAsia"/>
                      <w:vertAlign w:val="subscript"/>
                    </w:rPr>
                    <w:t>2</w:t>
                  </w:r>
                </w:p>
                <w:p>
                  <w:pPr>
                    <w:pStyle w:val="60"/>
                    <w:rPr>
                      <w:rFonts w:eastAsiaTheme="minorEastAsia"/>
                    </w:rPr>
                  </w:pPr>
                  <w:r>
                    <w:rPr>
                      <w:rFonts w:eastAsiaTheme="minorEastAsia"/>
                    </w:rPr>
                    <w:t>林格曼黑度</w:t>
                  </w:r>
                </w:p>
              </w:tc>
              <w:tc>
                <w:tcPr>
                  <w:tcW w:w="675" w:type="pct"/>
                  <w:tcBorders>
                    <w:bottom w:val="single" w:color="auto" w:sz="4" w:space="0"/>
                  </w:tcBorders>
                  <w:vAlign w:val="center"/>
                </w:tcPr>
                <w:p>
                  <w:pPr>
                    <w:pStyle w:val="60"/>
                    <w:rPr>
                      <w:rFonts w:eastAsiaTheme="minorEastAsia"/>
                    </w:rPr>
                  </w:pPr>
                  <w:r>
                    <w:rPr>
                      <w:rFonts w:eastAsiaTheme="minorEastAsia"/>
                    </w:rPr>
                    <w:t>1次/年</w:t>
                  </w:r>
                </w:p>
              </w:tc>
              <w:tc>
                <w:tcPr>
                  <w:tcW w:w="1665" w:type="pct"/>
                  <w:vMerge w:val="continue"/>
                  <w:tcBorders>
                    <w:bottom w:val="single" w:color="auto" w:sz="4" w:space="0"/>
                  </w:tcBorders>
                  <w:vAlign w:val="center"/>
                </w:tcPr>
                <w:p>
                  <w:pPr>
                    <w:pStyle w:val="60"/>
                    <w:rPr>
                      <w:rFonts w:eastAsiaTheme="minorEastAsi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465" w:type="pct"/>
                  <w:vMerge w:val="continue"/>
                  <w:vAlign w:val="center"/>
                </w:tcPr>
                <w:p>
                  <w:pPr>
                    <w:pStyle w:val="60"/>
                    <w:rPr>
                      <w:rFonts w:eastAsiaTheme="minorEastAsia"/>
                    </w:rPr>
                  </w:pPr>
                </w:p>
              </w:tc>
              <w:tc>
                <w:tcPr>
                  <w:tcW w:w="1008" w:type="pct"/>
                  <w:tcBorders>
                    <w:top w:val="single" w:color="auto" w:sz="4" w:space="0"/>
                  </w:tcBorders>
                  <w:vAlign w:val="center"/>
                </w:tcPr>
                <w:p>
                  <w:pPr>
                    <w:pStyle w:val="60"/>
                    <w:rPr>
                      <w:rFonts w:eastAsiaTheme="minorEastAsia"/>
                    </w:rPr>
                  </w:pPr>
                  <w:r>
                    <w:rPr>
                      <w:rFonts w:eastAsiaTheme="minorEastAsia"/>
                    </w:rPr>
                    <w:t>厂界上风向设1个点，下风向设3个点</w:t>
                  </w:r>
                </w:p>
              </w:tc>
              <w:tc>
                <w:tcPr>
                  <w:tcW w:w="1186" w:type="pct"/>
                  <w:tcBorders>
                    <w:top w:val="single" w:color="auto" w:sz="4" w:space="0"/>
                  </w:tcBorders>
                  <w:vAlign w:val="center"/>
                </w:tcPr>
                <w:p>
                  <w:pPr>
                    <w:pStyle w:val="60"/>
                    <w:rPr>
                      <w:rFonts w:eastAsiaTheme="minorEastAsia"/>
                    </w:rPr>
                  </w:pPr>
                  <w:r>
                    <w:rPr>
                      <w:rFonts w:hint="eastAsia" w:eastAsiaTheme="minorEastAsia"/>
                    </w:rPr>
                    <w:t>颗粒物</w:t>
                  </w:r>
                </w:p>
              </w:tc>
              <w:tc>
                <w:tcPr>
                  <w:tcW w:w="675" w:type="pct"/>
                  <w:tcBorders>
                    <w:top w:val="single" w:color="auto" w:sz="4" w:space="0"/>
                  </w:tcBorders>
                  <w:vAlign w:val="center"/>
                </w:tcPr>
                <w:p>
                  <w:pPr>
                    <w:pStyle w:val="60"/>
                    <w:rPr>
                      <w:rFonts w:eastAsiaTheme="minorEastAsia"/>
                    </w:rPr>
                  </w:pPr>
                  <w:r>
                    <w:rPr>
                      <w:rFonts w:eastAsiaTheme="minorEastAsia"/>
                    </w:rPr>
                    <w:t>1次/年</w:t>
                  </w:r>
                </w:p>
              </w:tc>
              <w:tc>
                <w:tcPr>
                  <w:tcW w:w="1665" w:type="pct"/>
                  <w:tcBorders>
                    <w:top w:val="single" w:color="auto" w:sz="4" w:space="0"/>
                  </w:tcBorders>
                  <w:vAlign w:val="center"/>
                </w:tcPr>
                <w:p>
                  <w:pPr>
                    <w:pStyle w:val="60"/>
                    <w:jc w:val="both"/>
                    <w:rPr>
                      <w:rFonts w:eastAsiaTheme="minorEastAsia"/>
                    </w:rPr>
                  </w:pPr>
                  <w:r>
                    <w:rPr>
                      <w:rFonts w:eastAsiaTheme="minorEastAsia"/>
                    </w:rPr>
                    <w:t>《大气污染物综合排放标准》（GB165297-1996）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465" w:type="pct"/>
                  <w:vAlign w:val="center"/>
                </w:tcPr>
                <w:p>
                  <w:pPr>
                    <w:pStyle w:val="60"/>
                    <w:rPr>
                      <w:rFonts w:eastAsiaTheme="minorEastAsia"/>
                    </w:rPr>
                  </w:pPr>
                  <w:r>
                    <w:rPr>
                      <w:rFonts w:eastAsiaTheme="minorEastAsia"/>
                    </w:rPr>
                    <w:t>噪声</w:t>
                  </w:r>
                </w:p>
              </w:tc>
              <w:tc>
                <w:tcPr>
                  <w:tcW w:w="1008" w:type="pct"/>
                  <w:vAlign w:val="center"/>
                </w:tcPr>
                <w:p>
                  <w:pPr>
                    <w:pStyle w:val="60"/>
                    <w:rPr>
                      <w:rFonts w:eastAsiaTheme="minorEastAsia"/>
                    </w:rPr>
                  </w:pPr>
                  <w:r>
                    <w:rPr>
                      <w:rFonts w:eastAsiaTheme="minorEastAsia"/>
                    </w:rPr>
                    <w:t>厂界4侧</w:t>
                  </w:r>
                </w:p>
              </w:tc>
              <w:tc>
                <w:tcPr>
                  <w:tcW w:w="1186" w:type="pct"/>
                  <w:vAlign w:val="center"/>
                </w:tcPr>
                <w:p>
                  <w:pPr>
                    <w:pStyle w:val="60"/>
                    <w:rPr>
                      <w:rFonts w:eastAsiaTheme="minorEastAsia"/>
                    </w:rPr>
                  </w:pPr>
                  <w:r>
                    <w:rPr>
                      <w:rFonts w:eastAsiaTheme="minorEastAsia"/>
                    </w:rPr>
                    <w:t>噪声</w:t>
                  </w:r>
                </w:p>
              </w:tc>
              <w:tc>
                <w:tcPr>
                  <w:tcW w:w="675" w:type="pct"/>
                  <w:vAlign w:val="center"/>
                </w:tcPr>
                <w:p>
                  <w:pPr>
                    <w:pStyle w:val="60"/>
                    <w:rPr>
                      <w:rFonts w:eastAsiaTheme="minorEastAsia"/>
                    </w:rPr>
                  </w:pPr>
                  <w:r>
                    <w:rPr>
                      <w:rFonts w:eastAsiaTheme="minorEastAsia"/>
                    </w:rPr>
                    <w:t>1次/季度</w:t>
                  </w:r>
                </w:p>
              </w:tc>
              <w:tc>
                <w:tcPr>
                  <w:tcW w:w="1665" w:type="pct"/>
                  <w:vAlign w:val="center"/>
                </w:tcPr>
                <w:p>
                  <w:pPr>
                    <w:pStyle w:val="60"/>
                    <w:jc w:val="both"/>
                    <w:rPr>
                      <w:rFonts w:eastAsiaTheme="minorEastAsia"/>
                    </w:rPr>
                  </w:pPr>
                  <w:r>
                    <w:rPr>
                      <w:rFonts w:eastAsiaTheme="minorEastAsia"/>
                    </w:rPr>
                    <w:t>《工业企业厂界环境噪声排放标准》（GB12348-2008）</w:t>
                  </w:r>
                  <w:r>
                    <w:rPr>
                      <w:rFonts w:hint="eastAsia" w:eastAsiaTheme="minorEastAsia"/>
                    </w:rPr>
                    <w:t>2</w:t>
                  </w:r>
                  <w:r>
                    <w:rPr>
                      <w:rFonts w:eastAsiaTheme="minorEastAsia"/>
                    </w:rPr>
                    <w:t>类声环境功能区标准。</w:t>
                  </w:r>
                </w:p>
              </w:tc>
            </w:tr>
          </w:tbl>
          <w:p>
            <w:pPr>
              <w:pStyle w:val="31"/>
              <w:spacing w:beforeLines="50"/>
              <w:ind w:firstLine="482"/>
              <w:rPr>
                <w:rFonts w:eastAsiaTheme="minorEastAsia"/>
                <w:b/>
                <w:color w:val="auto"/>
              </w:rPr>
            </w:pPr>
            <w:r>
              <w:rPr>
                <w:rFonts w:hint="eastAsia" w:eastAsiaTheme="minorEastAsia"/>
                <w:b/>
                <w:color w:val="auto"/>
              </w:rPr>
              <w:t>8</w:t>
            </w:r>
            <w:r>
              <w:rPr>
                <w:rFonts w:eastAsiaTheme="minorEastAsia"/>
                <w:b/>
                <w:color w:val="auto"/>
              </w:rPr>
              <w:t>、环保投资估算及“三同时”验收</w:t>
            </w:r>
          </w:p>
          <w:p>
            <w:pPr>
              <w:pStyle w:val="31"/>
              <w:ind w:firstLine="480"/>
              <w:rPr>
                <w:rFonts w:eastAsiaTheme="minorEastAsia"/>
                <w:color w:val="auto"/>
              </w:rPr>
            </w:pPr>
            <w:r>
              <w:rPr>
                <w:rFonts w:eastAsiaTheme="minorEastAsia"/>
                <w:color w:val="auto"/>
              </w:rPr>
              <w:t>本项目总投资为</w:t>
            </w:r>
            <w:r>
              <w:rPr>
                <w:rFonts w:eastAsiaTheme="minorEastAsia"/>
                <w:color w:val="auto"/>
                <w:szCs w:val="21"/>
              </w:rPr>
              <w:t>24423</w:t>
            </w:r>
            <w:r>
              <w:rPr>
                <w:rFonts w:eastAsiaTheme="minorEastAsia"/>
                <w:color w:val="auto"/>
              </w:rPr>
              <w:t>万元，估算环保投资为</w:t>
            </w:r>
            <w:r>
              <w:rPr>
                <w:rFonts w:hint="eastAsia" w:eastAsiaTheme="minorEastAsia"/>
                <w:color w:val="auto"/>
              </w:rPr>
              <w:t>23</w:t>
            </w:r>
            <w:r>
              <w:rPr>
                <w:rFonts w:eastAsiaTheme="minorEastAsia"/>
                <w:color w:val="auto"/>
              </w:rPr>
              <w:t>万元，占总投资比例</w:t>
            </w:r>
            <w:r>
              <w:rPr>
                <w:rFonts w:hint="eastAsia" w:eastAsiaTheme="minorEastAsia"/>
                <w:color w:val="auto"/>
              </w:rPr>
              <w:t>0.09</w:t>
            </w:r>
            <w:r>
              <w:rPr>
                <w:rFonts w:eastAsiaTheme="minorEastAsia"/>
                <w:color w:val="auto"/>
              </w:rPr>
              <w:t>%。</w:t>
            </w:r>
          </w:p>
          <w:p>
            <w:pPr>
              <w:pStyle w:val="39"/>
              <w:rPr>
                <w:rFonts w:eastAsiaTheme="minorEastAsia"/>
              </w:rPr>
            </w:pPr>
            <w:r>
              <w:rPr>
                <w:rFonts w:eastAsiaTheme="minorEastAsia"/>
              </w:rPr>
              <w:t>表</w:t>
            </w:r>
            <w:r>
              <w:rPr>
                <w:rFonts w:hint="eastAsia" w:eastAsiaTheme="minorEastAsia"/>
              </w:rPr>
              <w:t>24</w:t>
            </w:r>
            <w:r>
              <w:rPr>
                <w:rFonts w:eastAsiaTheme="minorEastAsia"/>
              </w:rPr>
              <w:t xml:space="preserve">    本项目环保投资估算表</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48"/>
              <w:gridCol w:w="2056"/>
              <w:gridCol w:w="1043"/>
              <w:gridCol w:w="3032"/>
              <w:gridCol w:w="6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254" w:type="pct"/>
                  <w:vAlign w:val="center"/>
                </w:tcPr>
                <w:p>
                  <w:pPr>
                    <w:pStyle w:val="60"/>
                    <w:rPr>
                      <w:rFonts w:eastAsiaTheme="minorEastAsia"/>
                    </w:rPr>
                  </w:pPr>
                  <w:r>
                    <w:rPr>
                      <w:rFonts w:eastAsiaTheme="minorEastAsia"/>
                    </w:rPr>
                    <w:t>类别</w:t>
                  </w:r>
                </w:p>
              </w:tc>
              <w:tc>
                <w:tcPr>
                  <w:tcW w:w="480" w:type="pct"/>
                  <w:vAlign w:val="center"/>
                </w:tcPr>
                <w:p>
                  <w:pPr>
                    <w:pStyle w:val="60"/>
                    <w:rPr>
                      <w:rFonts w:eastAsiaTheme="minorEastAsia"/>
                    </w:rPr>
                  </w:pPr>
                  <w:r>
                    <w:rPr>
                      <w:rFonts w:eastAsiaTheme="minorEastAsia"/>
                    </w:rPr>
                    <w:t>污染源</w:t>
                  </w:r>
                </w:p>
              </w:tc>
              <w:tc>
                <w:tcPr>
                  <w:tcW w:w="1302" w:type="pct"/>
                  <w:tcBorders>
                    <w:bottom w:val="single" w:color="auto" w:sz="4" w:space="0"/>
                  </w:tcBorders>
                  <w:tcMar>
                    <w:left w:w="0" w:type="dxa"/>
                    <w:right w:w="0" w:type="dxa"/>
                  </w:tcMar>
                  <w:vAlign w:val="center"/>
                </w:tcPr>
                <w:p>
                  <w:pPr>
                    <w:pStyle w:val="60"/>
                    <w:rPr>
                      <w:rFonts w:eastAsiaTheme="minorEastAsia"/>
                    </w:rPr>
                  </w:pPr>
                  <w:r>
                    <w:rPr>
                      <w:rFonts w:eastAsiaTheme="minorEastAsia"/>
                    </w:rPr>
                    <w:t>污染防治设施</w:t>
                  </w:r>
                </w:p>
              </w:tc>
              <w:tc>
                <w:tcPr>
                  <w:tcW w:w="665" w:type="pct"/>
                  <w:tcBorders>
                    <w:bottom w:val="single" w:color="auto" w:sz="4" w:space="0"/>
                  </w:tcBorders>
                  <w:vAlign w:val="center"/>
                </w:tcPr>
                <w:p>
                  <w:pPr>
                    <w:pStyle w:val="60"/>
                    <w:rPr>
                      <w:rFonts w:eastAsiaTheme="minorEastAsia"/>
                    </w:rPr>
                  </w:pPr>
                  <w:r>
                    <w:rPr>
                      <w:rFonts w:eastAsiaTheme="minorEastAsia"/>
                    </w:rPr>
                    <w:t>环保投资（万元）</w:t>
                  </w:r>
                </w:p>
              </w:tc>
              <w:tc>
                <w:tcPr>
                  <w:tcW w:w="1917" w:type="pct"/>
                  <w:tcBorders>
                    <w:bottom w:val="single" w:color="auto" w:sz="4" w:space="0"/>
                  </w:tcBorders>
                  <w:vAlign w:val="center"/>
                </w:tcPr>
                <w:p>
                  <w:pPr>
                    <w:pStyle w:val="60"/>
                    <w:rPr>
                      <w:rFonts w:eastAsiaTheme="minorEastAsia"/>
                    </w:rPr>
                  </w:pPr>
                  <w:r>
                    <w:rPr>
                      <w:rFonts w:eastAsiaTheme="minorEastAsia"/>
                    </w:rPr>
                    <w:t>验收标准</w:t>
                  </w:r>
                </w:p>
              </w:tc>
              <w:tc>
                <w:tcPr>
                  <w:tcW w:w="379" w:type="pct"/>
                  <w:tcBorders>
                    <w:bottom w:val="single" w:color="auto" w:sz="4" w:space="0"/>
                  </w:tcBorders>
                  <w:vAlign w:val="center"/>
                </w:tcPr>
                <w:p>
                  <w:pPr>
                    <w:pStyle w:val="60"/>
                    <w:rPr>
                      <w:rFonts w:eastAsiaTheme="minorEastAsia"/>
                    </w:rPr>
                  </w:pPr>
                  <w:r>
                    <w:rPr>
                      <w:rFonts w:eastAsiaTheme="minorEastAsia"/>
                    </w:rPr>
                    <w:t>进度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254" w:type="pct"/>
                  <w:vMerge w:val="restart"/>
                  <w:vAlign w:val="center"/>
                </w:tcPr>
                <w:p>
                  <w:pPr>
                    <w:pStyle w:val="60"/>
                    <w:rPr>
                      <w:rFonts w:eastAsiaTheme="minorEastAsia"/>
                      <w:kern w:val="0"/>
                    </w:rPr>
                  </w:pPr>
                  <w:r>
                    <w:rPr>
                      <w:rFonts w:eastAsiaTheme="minorEastAsia"/>
                      <w:kern w:val="0"/>
                    </w:rPr>
                    <w:t>废气</w:t>
                  </w:r>
                </w:p>
              </w:tc>
              <w:tc>
                <w:tcPr>
                  <w:tcW w:w="480" w:type="pct"/>
                  <w:vAlign w:val="center"/>
                </w:tcPr>
                <w:p>
                  <w:pPr>
                    <w:pStyle w:val="60"/>
                    <w:rPr>
                      <w:rFonts w:eastAsiaTheme="minorEastAsia"/>
                      <w:kern w:val="0"/>
                    </w:rPr>
                  </w:pPr>
                  <w:r>
                    <w:rPr>
                      <w:rFonts w:hint="eastAsia" w:eastAsiaTheme="minorEastAsia"/>
                      <w:kern w:val="0"/>
                    </w:rPr>
                    <w:t>生产废气</w:t>
                  </w:r>
                </w:p>
              </w:tc>
              <w:tc>
                <w:tcPr>
                  <w:tcW w:w="1302" w:type="pct"/>
                  <w:vAlign w:val="center"/>
                </w:tcPr>
                <w:p>
                  <w:pPr>
                    <w:pStyle w:val="60"/>
                    <w:jc w:val="both"/>
                    <w:rPr>
                      <w:rFonts w:hint="eastAsia" w:eastAsiaTheme="minorEastAsia"/>
                      <w:bCs/>
                      <w:szCs w:val="21"/>
                      <w:lang w:eastAsia="zh-CN"/>
                    </w:rPr>
                  </w:pPr>
                  <w:r>
                    <w:rPr>
                      <w:rFonts w:hint="eastAsia" w:eastAsiaTheme="minorEastAsia"/>
                      <w:bCs/>
                      <w:color w:val="auto"/>
                      <w:szCs w:val="21"/>
                    </w:rPr>
                    <w:t>下料坑</w:t>
                  </w:r>
                  <w:r>
                    <w:rPr>
                      <w:rFonts w:eastAsiaTheme="minorEastAsia"/>
                      <w:bCs/>
                      <w:color w:val="auto"/>
                      <w:szCs w:val="21"/>
                    </w:rPr>
                    <w:t>上方设置集气罩</w:t>
                  </w:r>
                  <w:r>
                    <w:rPr>
                      <w:rFonts w:hint="eastAsia" w:eastAsiaTheme="minorEastAsia"/>
                      <w:bCs/>
                      <w:color w:val="auto"/>
                      <w:szCs w:val="21"/>
                    </w:rPr>
                    <w:t>，粉尘经布袋除尘器处理后排放</w:t>
                  </w:r>
                  <w:r>
                    <w:rPr>
                      <w:rFonts w:eastAsiaTheme="minorEastAsia"/>
                      <w:bCs/>
                      <w:color w:val="auto"/>
                      <w:szCs w:val="21"/>
                    </w:rPr>
                    <w:t>，</w:t>
                  </w:r>
                  <w:r>
                    <w:rPr>
                      <w:rFonts w:hint="eastAsia" w:eastAsiaTheme="minorEastAsia"/>
                      <w:bCs/>
                      <w:color w:val="auto"/>
                      <w:szCs w:val="21"/>
                    </w:rPr>
                    <w:t>下料坑为地下结构</w:t>
                  </w:r>
                  <w:r>
                    <w:rPr>
                      <w:rFonts w:hint="eastAsia" w:eastAsiaTheme="minorEastAsia"/>
                      <w:bCs/>
                      <w:color w:val="auto"/>
                      <w:szCs w:val="21"/>
                      <w:lang w:eastAsia="zh-CN"/>
                    </w:rPr>
                    <w:t>。</w:t>
                  </w:r>
                </w:p>
                <w:p>
                  <w:pPr>
                    <w:pStyle w:val="60"/>
                    <w:jc w:val="both"/>
                    <w:rPr>
                      <w:rFonts w:eastAsiaTheme="minorEastAsia"/>
                    </w:rPr>
                  </w:pPr>
                  <w:r>
                    <w:rPr>
                      <w:rFonts w:hint="eastAsia" w:eastAsiaTheme="minorEastAsia"/>
                      <w:bCs/>
                      <w:szCs w:val="21"/>
                    </w:rPr>
                    <w:t>初清工序粉尘经</w:t>
                  </w:r>
                  <w:r>
                    <w:rPr>
                      <w:rFonts w:eastAsiaTheme="minorEastAsia"/>
                      <w:bCs/>
                      <w:szCs w:val="21"/>
                    </w:rPr>
                    <w:t>布袋除尘器</w:t>
                  </w:r>
                  <w:r>
                    <w:rPr>
                      <w:rFonts w:hint="eastAsia" w:eastAsiaTheme="minorEastAsia"/>
                      <w:bCs/>
                      <w:szCs w:val="21"/>
                    </w:rPr>
                    <w:t>处理后排放</w:t>
                  </w:r>
                  <w:r>
                    <w:rPr>
                      <w:rFonts w:eastAsiaTheme="minorEastAsia"/>
                    </w:rPr>
                    <w:t>。</w:t>
                  </w:r>
                </w:p>
              </w:tc>
              <w:tc>
                <w:tcPr>
                  <w:tcW w:w="665" w:type="pct"/>
                  <w:vAlign w:val="center"/>
                </w:tcPr>
                <w:p>
                  <w:pPr>
                    <w:pStyle w:val="60"/>
                    <w:rPr>
                      <w:rFonts w:eastAsiaTheme="minorEastAsia"/>
                    </w:rPr>
                  </w:pPr>
                  <w:r>
                    <w:rPr>
                      <w:rFonts w:hint="eastAsia" w:eastAsiaTheme="minorEastAsia"/>
                    </w:rPr>
                    <w:t>10</w:t>
                  </w:r>
                </w:p>
              </w:tc>
              <w:tc>
                <w:tcPr>
                  <w:tcW w:w="1917" w:type="pct"/>
                  <w:vAlign w:val="center"/>
                </w:tcPr>
                <w:p>
                  <w:pPr>
                    <w:pStyle w:val="60"/>
                    <w:jc w:val="both"/>
                    <w:rPr>
                      <w:rFonts w:eastAsiaTheme="minorEastAsia"/>
                    </w:rPr>
                  </w:pPr>
                  <w:commentRangeStart w:id="1"/>
                  <w:r>
                    <w:rPr>
                      <w:rFonts w:eastAsiaTheme="minorEastAsia"/>
                    </w:rPr>
                    <w:t>《大气污染物综合排放标准》（GB165297-1996）中表</w:t>
                  </w:r>
                  <w:r>
                    <w:rPr>
                      <w:rFonts w:hint="eastAsia" w:eastAsiaTheme="minorEastAsia"/>
                      <w:lang w:val="en-US" w:eastAsia="zh-CN"/>
                    </w:rPr>
                    <w:t>2</w:t>
                  </w:r>
                  <w:r>
                    <w:rPr>
                      <w:rFonts w:eastAsiaTheme="minorEastAsia"/>
                    </w:rPr>
                    <w:t>排放限值</w:t>
                  </w:r>
                  <w:commentRangeEnd w:id="1"/>
                  <w:r>
                    <w:commentReference w:id="1"/>
                  </w:r>
                </w:p>
              </w:tc>
              <w:tc>
                <w:tcPr>
                  <w:tcW w:w="379" w:type="pct"/>
                  <w:vMerge w:val="restart"/>
                  <w:vAlign w:val="center"/>
                </w:tcPr>
                <w:p>
                  <w:pPr>
                    <w:jc w:val="center"/>
                    <w:rPr>
                      <w:rFonts w:eastAsiaTheme="minorEastAsia"/>
                      <w:szCs w:val="21"/>
                    </w:rPr>
                  </w:pPr>
                  <w:r>
                    <w:rPr>
                      <w:rStyle w:val="47"/>
                      <w:rFonts w:hint="default" w:ascii="Times New Roman" w:hAnsi="Times New Roman" w:eastAsiaTheme="minorEastAsia"/>
                      <w:color w:val="auto"/>
                      <w:sz w:val="21"/>
                      <w:szCs w:val="21"/>
                    </w:rPr>
                    <w:t>与建设项目同时设计、同时施工、同时 投入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254" w:type="pct"/>
                  <w:vMerge w:val="continue"/>
                  <w:vAlign w:val="center"/>
                </w:tcPr>
                <w:p>
                  <w:pPr>
                    <w:pStyle w:val="60"/>
                    <w:rPr>
                      <w:rFonts w:eastAsiaTheme="minorEastAsia"/>
                      <w:kern w:val="0"/>
                    </w:rPr>
                  </w:pPr>
                </w:p>
              </w:tc>
              <w:tc>
                <w:tcPr>
                  <w:tcW w:w="480" w:type="pct"/>
                  <w:vAlign w:val="center"/>
                </w:tcPr>
                <w:p>
                  <w:pPr>
                    <w:pStyle w:val="60"/>
                    <w:rPr>
                      <w:rFonts w:eastAsiaTheme="minorEastAsia"/>
                      <w:kern w:val="0"/>
                    </w:rPr>
                  </w:pPr>
                  <w:r>
                    <w:rPr>
                      <w:rFonts w:eastAsiaTheme="minorEastAsia"/>
                      <w:kern w:val="0"/>
                    </w:rPr>
                    <w:t>热风炉废气</w:t>
                  </w:r>
                </w:p>
              </w:tc>
              <w:tc>
                <w:tcPr>
                  <w:tcW w:w="1302" w:type="pct"/>
                  <w:vAlign w:val="center"/>
                </w:tcPr>
                <w:p>
                  <w:pPr>
                    <w:pStyle w:val="60"/>
                    <w:jc w:val="both"/>
                    <w:rPr>
                      <w:rFonts w:eastAsiaTheme="minorEastAsia"/>
                    </w:rPr>
                  </w:pPr>
                  <w:r>
                    <w:rPr>
                      <w:rFonts w:hint="eastAsia" w:eastAsiaTheme="minorEastAsia"/>
                    </w:rPr>
                    <w:t>废</w:t>
                  </w:r>
                  <w:r>
                    <w:rPr>
                      <w:rFonts w:eastAsiaTheme="minorEastAsia"/>
                    </w:rPr>
                    <w:t>气</w:t>
                  </w:r>
                  <w:r>
                    <w:rPr>
                      <w:rFonts w:hint="eastAsia" w:eastAsiaTheme="minorEastAsia"/>
                    </w:rPr>
                    <w:t>经布袋除尘器处理后</w:t>
                  </w:r>
                  <w:r>
                    <w:rPr>
                      <w:rFonts w:eastAsiaTheme="minorEastAsia"/>
                    </w:rPr>
                    <w:t>经1根</w:t>
                  </w:r>
                  <w:r>
                    <w:rPr>
                      <w:rFonts w:hint="eastAsia" w:eastAsiaTheme="minorEastAsia"/>
                      <w:lang w:eastAsia="zh-CN"/>
                    </w:rPr>
                    <w:t>15m</w:t>
                  </w:r>
                  <w:r>
                    <w:rPr>
                      <w:rFonts w:eastAsiaTheme="minorEastAsia"/>
                    </w:rPr>
                    <w:t>高排气筒排放。</w:t>
                  </w:r>
                </w:p>
              </w:tc>
              <w:tc>
                <w:tcPr>
                  <w:tcW w:w="665" w:type="pct"/>
                  <w:vAlign w:val="center"/>
                </w:tcPr>
                <w:p>
                  <w:pPr>
                    <w:pStyle w:val="60"/>
                    <w:rPr>
                      <w:rFonts w:eastAsiaTheme="minorEastAsia"/>
                    </w:rPr>
                  </w:pPr>
                  <w:r>
                    <w:rPr>
                      <w:rFonts w:hint="eastAsia" w:eastAsiaTheme="minorEastAsia"/>
                    </w:rPr>
                    <w:t>10</w:t>
                  </w:r>
                </w:p>
              </w:tc>
              <w:tc>
                <w:tcPr>
                  <w:tcW w:w="1917" w:type="pct"/>
                  <w:vAlign w:val="center"/>
                </w:tcPr>
                <w:p>
                  <w:pPr>
                    <w:pStyle w:val="60"/>
                    <w:jc w:val="both"/>
                    <w:rPr>
                      <w:rFonts w:eastAsiaTheme="minorEastAsia"/>
                    </w:rPr>
                  </w:pPr>
                  <w:r>
                    <w:rPr>
                      <w:rFonts w:hint="eastAsia" w:eastAsiaTheme="minorEastAsia"/>
                      <w:lang w:eastAsia="zh-CN"/>
                    </w:rPr>
                    <w:t>烟尘、二氧化硫、林格曼黑度执行《工业炉窑大气污染物排放标准》（</w:t>
                  </w:r>
                  <w:r>
                    <w:rPr>
                      <w:rFonts w:hint="eastAsia" w:eastAsiaTheme="minorEastAsia"/>
                      <w:lang w:val="en-US" w:eastAsia="zh-CN"/>
                    </w:rPr>
                    <w:t>GB9078-1996</w:t>
                  </w:r>
                  <w:r>
                    <w:rPr>
                      <w:rFonts w:hint="eastAsia" w:eastAsiaTheme="minorEastAsia"/>
                      <w:lang w:eastAsia="zh-CN"/>
                    </w:rPr>
                    <w:t>）中相关标准，氮氧化物执行</w:t>
                  </w:r>
                  <w:r>
                    <w:rPr>
                      <w:rFonts w:hint="default" w:eastAsiaTheme="minorEastAsia"/>
                    </w:rPr>
                    <w:t>《大气污染物综合排放标准》（GB16297-1996）表</w:t>
                  </w:r>
                  <w:r>
                    <w:rPr>
                      <w:rFonts w:hint="eastAsia" w:eastAsiaTheme="minorEastAsia"/>
                      <w:lang w:val="en-US" w:eastAsia="zh-CN"/>
                    </w:rPr>
                    <w:t>2中有组织限值。</w:t>
                  </w:r>
                </w:p>
              </w:tc>
              <w:tc>
                <w:tcPr>
                  <w:tcW w:w="379" w:type="pct"/>
                  <w:vMerge w:val="continue"/>
                  <w:vAlign w:val="center"/>
                </w:tcPr>
                <w:p>
                  <w:pPr>
                    <w:pStyle w:val="60"/>
                    <w:rPr>
                      <w:rFonts w:eastAsiaTheme="minorEastAsi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254" w:type="pct"/>
                  <w:vMerge w:val="continue"/>
                  <w:vAlign w:val="center"/>
                </w:tcPr>
                <w:p>
                  <w:pPr>
                    <w:pStyle w:val="60"/>
                    <w:rPr>
                      <w:rFonts w:eastAsiaTheme="minorEastAsia"/>
                      <w:kern w:val="0"/>
                    </w:rPr>
                  </w:pPr>
                </w:p>
              </w:tc>
              <w:tc>
                <w:tcPr>
                  <w:tcW w:w="480" w:type="pct"/>
                  <w:vAlign w:val="center"/>
                </w:tcPr>
                <w:p>
                  <w:pPr>
                    <w:pStyle w:val="60"/>
                    <w:rPr>
                      <w:rFonts w:eastAsiaTheme="minorEastAsia"/>
                      <w:kern w:val="0"/>
                    </w:rPr>
                  </w:pPr>
                  <w:r>
                    <w:rPr>
                      <w:rFonts w:hint="eastAsia" w:eastAsiaTheme="minorEastAsia"/>
                      <w:kern w:val="0"/>
                    </w:rPr>
                    <w:t>食堂油烟</w:t>
                  </w:r>
                </w:p>
              </w:tc>
              <w:tc>
                <w:tcPr>
                  <w:tcW w:w="1302" w:type="pct"/>
                  <w:vAlign w:val="center"/>
                </w:tcPr>
                <w:p>
                  <w:pPr>
                    <w:pStyle w:val="60"/>
                    <w:jc w:val="both"/>
                    <w:rPr>
                      <w:rFonts w:eastAsiaTheme="minorEastAsia"/>
                    </w:rPr>
                  </w:pPr>
                  <w:r>
                    <w:rPr>
                      <w:rFonts w:hint="eastAsia" w:eastAsiaTheme="minorEastAsia"/>
                    </w:rPr>
                    <w:t>食堂油烟经油烟净化器处理后通过专用通道排放。</w:t>
                  </w:r>
                </w:p>
              </w:tc>
              <w:tc>
                <w:tcPr>
                  <w:tcW w:w="665" w:type="pct"/>
                  <w:vAlign w:val="center"/>
                </w:tcPr>
                <w:p>
                  <w:pPr>
                    <w:pStyle w:val="60"/>
                    <w:rPr>
                      <w:rFonts w:eastAsiaTheme="minorEastAsia"/>
                    </w:rPr>
                  </w:pPr>
                  <w:r>
                    <w:rPr>
                      <w:rFonts w:hint="eastAsia" w:eastAsiaTheme="minorEastAsia"/>
                    </w:rPr>
                    <w:t>1.0</w:t>
                  </w:r>
                </w:p>
              </w:tc>
              <w:tc>
                <w:tcPr>
                  <w:tcW w:w="1917" w:type="pct"/>
                  <w:vAlign w:val="center"/>
                </w:tcPr>
                <w:p>
                  <w:pPr>
                    <w:pStyle w:val="60"/>
                    <w:jc w:val="both"/>
                    <w:rPr>
                      <w:rFonts w:eastAsiaTheme="minorEastAsia"/>
                    </w:rPr>
                  </w:pPr>
                  <w:r>
                    <w:t>《饮食业油烟排放标准（试行）》（GB18483-2001）中小型标准</w:t>
                  </w:r>
                </w:p>
              </w:tc>
              <w:tc>
                <w:tcPr>
                  <w:tcW w:w="379" w:type="pct"/>
                  <w:vMerge w:val="continue"/>
                  <w:vAlign w:val="center"/>
                </w:tcPr>
                <w:p>
                  <w:pPr>
                    <w:pStyle w:val="60"/>
                    <w:rPr>
                      <w:rFonts w:eastAsiaTheme="minorEastAsi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16" w:hRule="atLeast"/>
                <w:jc w:val="center"/>
              </w:trPr>
              <w:tc>
                <w:tcPr>
                  <w:tcW w:w="254" w:type="pct"/>
                  <w:vAlign w:val="center"/>
                </w:tcPr>
                <w:p>
                  <w:pPr>
                    <w:pStyle w:val="60"/>
                    <w:rPr>
                      <w:rFonts w:eastAsiaTheme="minorEastAsia"/>
                      <w:kern w:val="0"/>
                    </w:rPr>
                  </w:pPr>
                  <w:r>
                    <w:rPr>
                      <w:rFonts w:eastAsiaTheme="minorEastAsia"/>
                      <w:kern w:val="0"/>
                    </w:rPr>
                    <w:t>噪声</w:t>
                  </w:r>
                </w:p>
              </w:tc>
              <w:tc>
                <w:tcPr>
                  <w:tcW w:w="480" w:type="pct"/>
                  <w:vAlign w:val="center"/>
                </w:tcPr>
                <w:p>
                  <w:pPr>
                    <w:pStyle w:val="60"/>
                    <w:rPr>
                      <w:rFonts w:eastAsiaTheme="minorEastAsia"/>
                    </w:rPr>
                  </w:pPr>
                  <w:r>
                    <w:rPr>
                      <w:rFonts w:eastAsiaTheme="minorEastAsia"/>
                    </w:rPr>
                    <w:t>噪声</w:t>
                  </w:r>
                </w:p>
              </w:tc>
              <w:tc>
                <w:tcPr>
                  <w:tcW w:w="1302" w:type="pct"/>
                  <w:vAlign w:val="center"/>
                </w:tcPr>
                <w:p>
                  <w:pPr>
                    <w:pStyle w:val="60"/>
                    <w:jc w:val="both"/>
                    <w:rPr>
                      <w:rFonts w:eastAsiaTheme="minorEastAsia"/>
                      <w:szCs w:val="21"/>
                    </w:rPr>
                  </w:pPr>
                  <w:r>
                    <w:rPr>
                      <w:rFonts w:eastAsiaTheme="minorEastAsia"/>
                      <w:szCs w:val="21"/>
                    </w:rPr>
                    <w:t>选用低噪声设备；安装隔声减振装置</w:t>
                  </w:r>
                </w:p>
              </w:tc>
              <w:tc>
                <w:tcPr>
                  <w:tcW w:w="665" w:type="pct"/>
                  <w:vAlign w:val="center"/>
                </w:tcPr>
                <w:p>
                  <w:pPr>
                    <w:pStyle w:val="60"/>
                    <w:rPr>
                      <w:rFonts w:eastAsiaTheme="minorEastAsia"/>
                    </w:rPr>
                  </w:pPr>
                  <w:r>
                    <w:rPr>
                      <w:rFonts w:hint="eastAsia" w:eastAsiaTheme="minorEastAsia"/>
                    </w:rPr>
                    <w:t>计入工程投资</w:t>
                  </w:r>
                </w:p>
              </w:tc>
              <w:tc>
                <w:tcPr>
                  <w:tcW w:w="1917" w:type="pct"/>
                  <w:vAlign w:val="center"/>
                </w:tcPr>
                <w:p>
                  <w:pPr>
                    <w:pStyle w:val="60"/>
                    <w:jc w:val="both"/>
                    <w:rPr>
                      <w:rFonts w:eastAsiaTheme="minorEastAsia"/>
                    </w:rPr>
                  </w:pPr>
                  <w:r>
                    <w:rPr>
                      <w:rFonts w:eastAsiaTheme="minorEastAsia"/>
                    </w:rPr>
                    <w:t>《工业企业厂界环境噪声排放标准》（GB12348-2008）中的2类声标准限值</w:t>
                  </w:r>
                </w:p>
              </w:tc>
              <w:tc>
                <w:tcPr>
                  <w:tcW w:w="379" w:type="pct"/>
                  <w:vMerge w:val="continue"/>
                  <w:vAlign w:val="center"/>
                </w:tcPr>
                <w:p>
                  <w:pPr>
                    <w:pStyle w:val="60"/>
                    <w:rPr>
                      <w:rFonts w:eastAsiaTheme="minorEastAsi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254" w:type="pct"/>
                  <w:vAlign w:val="center"/>
                </w:tcPr>
                <w:p>
                  <w:pPr>
                    <w:pStyle w:val="60"/>
                    <w:rPr>
                      <w:rFonts w:eastAsiaTheme="minorEastAsia"/>
                      <w:kern w:val="0"/>
                    </w:rPr>
                  </w:pPr>
                  <w:r>
                    <w:rPr>
                      <w:rFonts w:eastAsiaTheme="minorEastAsia"/>
                      <w:kern w:val="0"/>
                    </w:rPr>
                    <w:t>废水</w:t>
                  </w:r>
                </w:p>
              </w:tc>
              <w:tc>
                <w:tcPr>
                  <w:tcW w:w="480" w:type="pct"/>
                  <w:vAlign w:val="center"/>
                </w:tcPr>
                <w:p>
                  <w:pPr>
                    <w:pStyle w:val="60"/>
                    <w:rPr>
                      <w:rFonts w:eastAsiaTheme="minorEastAsia"/>
                      <w:kern w:val="0"/>
                    </w:rPr>
                  </w:pPr>
                  <w:r>
                    <w:rPr>
                      <w:rFonts w:hint="eastAsia" w:eastAsiaTheme="minorEastAsia"/>
                      <w:kern w:val="0"/>
                    </w:rPr>
                    <w:t>生活污水</w:t>
                  </w:r>
                </w:p>
              </w:tc>
              <w:tc>
                <w:tcPr>
                  <w:tcW w:w="1302" w:type="pct"/>
                  <w:vAlign w:val="center"/>
                </w:tcPr>
                <w:p>
                  <w:pPr>
                    <w:jc w:val="both"/>
                    <w:rPr>
                      <w:rStyle w:val="47"/>
                      <w:rFonts w:hint="default" w:ascii="Times New Roman" w:hAnsi="Times New Roman" w:eastAsiaTheme="minorEastAsia"/>
                      <w:color w:val="auto"/>
                      <w:sz w:val="21"/>
                      <w:szCs w:val="21"/>
                    </w:rPr>
                  </w:pPr>
                  <w:r>
                    <w:rPr>
                      <w:rStyle w:val="47"/>
                      <w:rFonts w:hint="default" w:ascii="Times New Roman" w:hAnsi="Times New Roman" w:eastAsiaTheme="minorEastAsia"/>
                      <w:color w:val="auto"/>
                      <w:sz w:val="21"/>
                      <w:szCs w:val="21"/>
                    </w:rPr>
                    <w:t>拟建项目废水主要包括生活废水，生活污水经化粪池预处理后定期清掏拉运至</w:t>
                  </w:r>
                  <w:r>
                    <w:rPr>
                      <w:rStyle w:val="47"/>
                      <w:rFonts w:ascii="Times New Roman" w:hAnsi="Times New Roman" w:eastAsiaTheme="minorEastAsia"/>
                      <w:color w:val="auto"/>
                      <w:sz w:val="21"/>
                      <w:szCs w:val="21"/>
                    </w:rPr>
                    <w:t>胜丰镇新红村一社农村生活污水处理厂</w:t>
                  </w:r>
                  <w:r>
                    <w:rPr>
                      <w:rStyle w:val="47"/>
                      <w:rFonts w:hint="default" w:ascii="Times New Roman" w:hAnsi="Times New Roman" w:eastAsiaTheme="minorEastAsia"/>
                      <w:color w:val="auto"/>
                      <w:sz w:val="21"/>
                      <w:szCs w:val="21"/>
                    </w:rPr>
                    <w:t>处理。</w:t>
                  </w:r>
                </w:p>
                <w:p>
                  <w:pPr>
                    <w:jc w:val="both"/>
                    <w:rPr>
                      <w:rFonts w:eastAsiaTheme="minorEastAsia"/>
                      <w:kern w:val="0"/>
                      <w:szCs w:val="21"/>
                    </w:rPr>
                  </w:pPr>
                  <w:r>
                    <w:rPr>
                      <w:rStyle w:val="47"/>
                      <w:rFonts w:hint="default" w:ascii="Times New Roman"/>
                      <w:color w:val="auto"/>
                      <w:sz w:val="21"/>
                      <w:szCs w:val="21"/>
                    </w:rPr>
                    <w:t>项目设置</w:t>
                  </w:r>
                  <w:r>
                    <w:rPr>
                      <w:rStyle w:val="47"/>
                      <w:rFonts w:hint="default" w:ascii="Times New Roman" w:hAnsi="Times New Roman"/>
                      <w:color w:val="auto"/>
                      <w:sz w:val="21"/>
                      <w:szCs w:val="21"/>
                    </w:rPr>
                    <w:t>2</w:t>
                  </w:r>
                  <w:r>
                    <w:rPr>
                      <w:rStyle w:val="47"/>
                      <w:rFonts w:hint="default" w:ascii="Times New Roman"/>
                      <w:color w:val="auto"/>
                      <w:sz w:val="21"/>
                      <w:szCs w:val="21"/>
                    </w:rPr>
                    <w:t>座化粪池（</w:t>
                  </w:r>
                  <w:r>
                    <w:rPr>
                      <w:rStyle w:val="47"/>
                      <w:rFonts w:hint="default" w:ascii="Times New Roman" w:hAnsi="Times New Roman"/>
                      <w:color w:val="auto"/>
                      <w:sz w:val="21"/>
                      <w:szCs w:val="21"/>
                    </w:rPr>
                    <w:t>100m</w:t>
                  </w:r>
                  <w:r>
                    <w:rPr>
                      <w:rStyle w:val="47"/>
                      <w:rFonts w:hint="default" w:ascii="Times New Roman" w:hAnsi="Times New Roman"/>
                      <w:color w:val="auto"/>
                      <w:sz w:val="21"/>
                      <w:szCs w:val="21"/>
                      <w:vertAlign w:val="superscript"/>
                    </w:rPr>
                    <w:t>3</w:t>
                  </w:r>
                  <w:r>
                    <w:rPr>
                      <w:rStyle w:val="47"/>
                      <w:rFonts w:hint="default" w:ascii="Times New Roman"/>
                      <w:color w:val="auto"/>
                      <w:sz w:val="21"/>
                      <w:szCs w:val="21"/>
                    </w:rPr>
                    <w:t>、</w:t>
                  </w:r>
                  <w:r>
                    <w:rPr>
                      <w:rStyle w:val="47"/>
                      <w:rFonts w:hint="default" w:ascii="Times New Roman" w:hAnsi="Times New Roman"/>
                      <w:color w:val="auto"/>
                      <w:sz w:val="21"/>
                      <w:szCs w:val="21"/>
                    </w:rPr>
                    <w:t>50 m</w:t>
                  </w:r>
                  <w:r>
                    <w:rPr>
                      <w:rStyle w:val="47"/>
                      <w:rFonts w:hint="default" w:ascii="Times New Roman" w:hAnsi="Times New Roman"/>
                      <w:color w:val="auto"/>
                      <w:sz w:val="21"/>
                      <w:szCs w:val="21"/>
                      <w:vertAlign w:val="superscript"/>
                    </w:rPr>
                    <w:t>3</w:t>
                  </w:r>
                  <w:r>
                    <w:rPr>
                      <w:rStyle w:val="47"/>
                      <w:rFonts w:hint="default" w:ascii="Times New Roman"/>
                      <w:color w:val="auto"/>
                      <w:sz w:val="21"/>
                      <w:szCs w:val="21"/>
                    </w:rPr>
                    <w:t>，预制混凝土结构），</w:t>
                  </w:r>
                </w:p>
              </w:tc>
              <w:tc>
                <w:tcPr>
                  <w:tcW w:w="665" w:type="pct"/>
                  <w:vAlign w:val="center"/>
                </w:tcPr>
                <w:p>
                  <w:pPr>
                    <w:pStyle w:val="60"/>
                    <w:rPr>
                      <w:rFonts w:eastAsiaTheme="minorEastAsia"/>
                    </w:rPr>
                  </w:pPr>
                  <w:r>
                    <w:rPr>
                      <w:rFonts w:hint="eastAsia" w:eastAsiaTheme="minorEastAsia"/>
                    </w:rPr>
                    <w:t>1.0</w:t>
                  </w:r>
                </w:p>
              </w:tc>
              <w:tc>
                <w:tcPr>
                  <w:tcW w:w="1917" w:type="pct"/>
                  <w:vAlign w:val="center"/>
                </w:tcPr>
                <w:p>
                  <w:pPr>
                    <w:pStyle w:val="60"/>
                    <w:jc w:val="both"/>
                    <w:rPr>
                      <w:rFonts w:eastAsiaTheme="minorEastAsia"/>
                    </w:rPr>
                  </w:pPr>
                  <w:r>
                    <w:rPr>
                      <w:rFonts w:eastAsiaTheme="minorEastAsia"/>
                    </w:rPr>
                    <w:t>《污水综合排放标准》（GB8978-1996）三级标准</w:t>
                  </w:r>
                </w:p>
              </w:tc>
              <w:tc>
                <w:tcPr>
                  <w:tcW w:w="379" w:type="pct"/>
                  <w:vMerge w:val="continue"/>
                  <w:vAlign w:val="center"/>
                </w:tcPr>
                <w:p>
                  <w:pPr>
                    <w:pStyle w:val="60"/>
                    <w:rPr>
                      <w:rFonts w:eastAsiaTheme="minorEastAsi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254" w:type="pct"/>
                  <w:vMerge w:val="restart"/>
                  <w:vAlign w:val="center"/>
                </w:tcPr>
                <w:p>
                  <w:pPr>
                    <w:pStyle w:val="60"/>
                    <w:rPr>
                      <w:rFonts w:eastAsiaTheme="minorEastAsia"/>
                      <w:kern w:val="0"/>
                    </w:rPr>
                  </w:pPr>
                  <w:r>
                    <w:rPr>
                      <w:rFonts w:eastAsiaTheme="minorEastAsia"/>
                      <w:kern w:val="0"/>
                    </w:rPr>
                    <w:t>固废</w:t>
                  </w:r>
                </w:p>
              </w:tc>
              <w:tc>
                <w:tcPr>
                  <w:tcW w:w="480" w:type="pct"/>
                  <w:vAlign w:val="center"/>
                </w:tcPr>
                <w:p>
                  <w:pPr>
                    <w:pStyle w:val="60"/>
                    <w:rPr>
                      <w:rFonts w:eastAsiaTheme="minorEastAsia"/>
                      <w:kern w:val="0"/>
                    </w:rPr>
                  </w:pPr>
                  <w:r>
                    <w:rPr>
                      <w:rFonts w:eastAsiaTheme="minorEastAsia"/>
                    </w:rPr>
                    <w:t>粮食初清</w:t>
                  </w:r>
                  <w:r>
                    <w:rPr>
                      <w:rStyle w:val="68"/>
                      <w:rFonts w:eastAsiaTheme="minorEastAsia"/>
                      <w:b w:val="0"/>
                    </w:rPr>
                    <w:t>杂质</w:t>
                  </w:r>
                </w:p>
              </w:tc>
              <w:tc>
                <w:tcPr>
                  <w:tcW w:w="1302" w:type="pct"/>
                  <w:vAlign w:val="center"/>
                </w:tcPr>
                <w:p>
                  <w:pPr>
                    <w:pStyle w:val="60"/>
                    <w:jc w:val="both"/>
                    <w:rPr>
                      <w:rFonts w:eastAsiaTheme="minorEastAsia"/>
                      <w:kern w:val="0"/>
                      <w:szCs w:val="21"/>
                    </w:rPr>
                  </w:pPr>
                  <w:r>
                    <w:rPr>
                      <w:rStyle w:val="47"/>
                      <w:rFonts w:hint="default" w:ascii="Times New Roman"/>
                      <w:color w:val="auto"/>
                      <w:sz w:val="21"/>
                      <w:szCs w:val="21"/>
                    </w:rPr>
                    <w:t>集中收集，外售综合利用</w:t>
                  </w:r>
                </w:p>
              </w:tc>
              <w:tc>
                <w:tcPr>
                  <w:tcW w:w="665" w:type="pct"/>
                  <w:vAlign w:val="center"/>
                </w:tcPr>
                <w:p>
                  <w:pPr>
                    <w:pStyle w:val="60"/>
                    <w:rPr>
                      <w:rFonts w:eastAsiaTheme="minorEastAsia"/>
                    </w:rPr>
                  </w:pPr>
                  <w:r>
                    <w:rPr>
                      <w:rFonts w:hint="eastAsia" w:eastAsiaTheme="minorEastAsia"/>
                    </w:rPr>
                    <w:t>/</w:t>
                  </w:r>
                </w:p>
              </w:tc>
              <w:tc>
                <w:tcPr>
                  <w:tcW w:w="1917" w:type="pct"/>
                  <w:vMerge w:val="restart"/>
                  <w:vAlign w:val="center"/>
                </w:tcPr>
                <w:p>
                  <w:pPr>
                    <w:pStyle w:val="60"/>
                    <w:jc w:val="both"/>
                    <w:rPr>
                      <w:rFonts w:eastAsiaTheme="minorEastAsia"/>
                    </w:rPr>
                  </w:pPr>
                  <w:r>
                    <w:rPr>
                      <w:rFonts w:eastAsiaTheme="minorEastAsia"/>
                    </w:rPr>
                    <w:t>《一般工业固体废物贮存和填埋污染控制标准》（GB18599-2020）</w:t>
                  </w:r>
                </w:p>
              </w:tc>
              <w:tc>
                <w:tcPr>
                  <w:tcW w:w="379" w:type="pct"/>
                  <w:vMerge w:val="continue"/>
                  <w:vAlign w:val="center"/>
                </w:tcPr>
                <w:p>
                  <w:pPr>
                    <w:pStyle w:val="60"/>
                    <w:rPr>
                      <w:rFonts w:eastAsiaTheme="minorEastAsi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254" w:type="pct"/>
                  <w:vMerge w:val="continue"/>
                  <w:vAlign w:val="center"/>
                </w:tcPr>
                <w:p>
                  <w:pPr>
                    <w:pStyle w:val="60"/>
                    <w:rPr>
                      <w:rFonts w:eastAsiaTheme="minorEastAsia"/>
                      <w:kern w:val="0"/>
                    </w:rPr>
                  </w:pPr>
                </w:p>
              </w:tc>
              <w:tc>
                <w:tcPr>
                  <w:tcW w:w="480" w:type="pct"/>
                  <w:vAlign w:val="center"/>
                </w:tcPr>
                <w:p>
                  <w:pPr>
                    <w:pStyle w:val="60"/>
                    <w:rPr>
                      <w:rFonts w:eastAsiaTheme="minorEastAsia"/>
                      <w:kern w:val="0"/>
                    </w:rPr>
                  </w:pPr>
                  <w:r>
                    <w:rPr>
                      <w:rFonts w:eastAsiaTheme="minorEastAsia"/>
                      <w:kern w:val="0"/>
                    </w:rPr>
                    <w:t>生活垃圾</w:t>
                  </w:r>
                </w:p>
              </w:tc>
              <w:tc>
                <w:tcPr>
                  <w:tcW w:w="1302" w:type="pct"/>
                  <w:vAlign w:val="center"/>
                </w:tcPr>
                <w:p>
                  <w:pPr>
                    <w:pStyle w:val="60"/>
                    <w:jc w:val="both"/>
                    <w:rPr>
                      <w:rFonts w:eastAsiaTheme="minorEastAsia"/>
                      <w:kern w:val="0"/>
                      <w:szCs w:val="21"/>
                    </w:rPr>
                  </w:pPr>
                  <w:r>
                    <w:rPr>
                      <w:rFonts w:eastAsiaTheme="minorEastAsia"/>
                      <w:kern w:val="0"/>
                      <w:szCs w:val="21"/>
                    </w:rPr>
                    <w:t>垃圾桶集中收集后交由环卫部门处理</w:t>
                  </w:r>
                </w:p>
              </w:tc>
              <w:tc>
                <w:tcPr>
                  <w:tcW w:w="665" w:type="pct"/>
                  <w:vAlign w:val="center"/>
                </w:tcPr>
                <w:p>
                  <w:pPr>
                    <w:pStyle w:val="60"/>
                    <w:rPr>
                      <w:rFonts w:eastAsiaTheme="minorEastAsia"/>
                    </w:rPr>
                  </w:pPr>
                  <w:r>
                    <w:rPr>
                      <w:rFonts w:hint="eastAsia" w:eastAsiaTheme="minorEastAsia"/>
                    </w:rPr>
                    <w:t>0.5</w:t>
                  </w:r>
                </w:p>
              </w:tc>
              <w:tc>
                <w:tcPr>
                  <w:tcW w:w="1917" w:type="pct"/>
                  <w:vMerge w:val="continue"/>
                  <w:vAlign w:val="center"/>
                </w:tcPr>
                <w:p>
                  <w:pPr>
                    <w:pStyle w:val="60"/>
                    <w:rPr>
                      <w:rFonts w:eastAsiaTheme="minorEastAsia"/>
                    </w:rPr>
                  </w:pPr>
                </w:p>
              </w:tc>
              <w:tc>
                <w:tcPr>
                  <w:tcW w:w="379" w:type="pct"/>
                  <w:vMerge w:val="continue"/>
                  <w:vAlign w:val="center"/>
                </w:tcPr>
                <w:p>
                  <w:pPr>
                    <w:pStyle w:val="60"/>
                    <w:rPr>
                      <w:rFonts w:eastAsiaTheme="minorEastAsi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254" w:type="pct"/>
                  <w:vMerge w:val="continue"/>
                  <w:vAlign w:val="center"/>
                </w:tcPr>
                <w:p>
                  <w:pPr>
                    <w:pStyle w:val="60"/>
                    <w:rPr>
                      <w:rFonts w:eastAsiaTheme="minorEastAsia"/>
                      <w:kern w:val="0"/>
                    </w:rPr>
                  </w:pPr>
                </w:p>
              </w:tc>
              <w:tc>
                <w:tcPr>
                  <w:tcW w:w="480" w:type="pct"/>
                  <w:vAlign w:val="center"/>
                </w:tcPr>
                <w:p>
                  <w:pPr>
                    <w:pStyle w:val="60"/>
                    <w:rPr>
                      <w:rFonts w:eastAsiaTheme="minorEastAsia"/>
                      <w:kern w:val="0"/>
                    </w:rPr>
                  </w:pPr>
                  <w:r>
                    <w:rPr>
                      <w:rFonts w:eastAsiaTheme="minorEastAsia"/>
                      <w:bCs/>
                      <w:szCs w:val="21"/>
                    </w:rPr>
                    <w:t>收集灰</w:t>
                  </w:r>
                </w:p>
              </w:tc>
              <w:tc>
                <w:tcPr>
                  <w:tcW w:w="1302" w:type="pct"/>
                  <w:vAlign w:val="center"/>
                </w:tcPr>
                <w:p>
                  <w:pPr>
                    <w:pStyle w:val="60"/>
                    <w:jc w:val="both"/>
                    <w:rPr>
                      <w:rFonts w:eastAsiaTheme="minorEastAsia"/>
                      <w:kern w:val="0"/>
                      <w:szCs w:val="21"/>
                    </w:rPr>
                  </w:pPr>
                  <w:r>
                    <w:rPr>
                      <w:rFonts w:eastAsiaTheme="minorEastAsia"/>
                      <w:bCs/>
                      <w:szCs w:val="21"/>
                    </w:rPr>
                    <w:t>集中收集，统一清运处理</w:t>
                  </w:r>
                </w:p>
              </w:tc>
              <w:tc>
                <w:tcPr>
                  <w:tcW w:w="665" w:type="pct"/>
                  <w:vAlign w:val="center"/>
                </w:tcPr>
                <w:p>
                  <w:pPr>
                    <w:pStyle w:val="60"/>
                    <w:rPr>
                      <w:rFonts w:eastAsiaTheme="minorEastAsia"/>
                    </w:rPr>
                  </w:pPr>
                  <w:r>
                    <w:rPr>
                      <w:rFonts w:hint="eastAsia" w:eastAsiaTheme="minorEastAsia"/>
                    </w:rPr>
                    <w:t>0.5</w:t>
                  </w:r>
                </w:p>
              </w:tc>
              <w:tc>
                <w:tcPr>
                  <w:tcW w:w="1917" w:type="pct"/>
                  <w:vMerge w:val="continue"/>
                  <w:vAlign w:val="center"/>
                </w:tcPr>
                <w:p>
                  <w:pPr>
                    <w:pStyle w:val="60"/>
                    <w:rPr>
                      <w:rFonts w:eastAsiaTheme="minorEastAsia"/>
                    </w:rPr>
                  </w:pPr>
                </w:p>
              </w:tc>
              <w:tc>
                <w:tcPr>
                  <w:tcW w:w="379" w:type="pct"/>
                  <w:vMerge w:val="continue"/>
                  <w:vAlign w:val="center"/>
                </w:tcPr>
                <w:p>
                  <w:pPr>
                    <w:pStyle w:val="60"/>
                    <w:rPr>
                      <w:rFonts w:eastAsiaTheme="minorEastAsi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254" w:type="pct"/>
                  <w:vMerge w:val="continue"/>
                  <w:vAlign w:val="center"/>
                </w:tcPr>
                <w:p>
                  <w:pPr>
                    <w:pStyle w:val="60"/>
                    <w:rPr>
                      <w:rFonts w:eastAsiaTheme="minorEastAsia"/>
                      <w:kern w:val="0"/>
                    </w:rPr>
                  </w:pPr>
                </w:p>
              </w:tc>
              <w:tc>
                <w:tcPr>
                  <w:tcW w:w="480" w:type="pct"/>
                  <w:vAlign w:val="center"/>
                </w:tcPr>
                <w:p>
                  <w:pPr>
                    <w:pStyle w:val="60"/>
                    <w:rPr>
                      <w:rFonts w:eastAsiaTheme="minorEastAsia"/>
                      <w:kern w:val="0"/>
                    </w:rPr>
                  </w:pPr>
                  <w:r>
                    <w:rPr>
                      <w:rFonts w:eastAsiaTheme="minorEastAsia"/>
                      <w:bCs/>
                      <w:szCs w:val="21"/>
                    </w:rPr>
                    <w:t>热风炉灰渣</w:t>
                  </w:r>
                </w:p>
              </w:tc>
              <w:tc>
                <w:tcPr>
                  <w:tcW w:w="1302" w:type="pct"/>
                  <w:vAlign w:val="center"/>
                </w:tcPr>
                <w:p>
                  <w:pPr>
                    <w:pStyle w:val="60"/>
                    <w:jc w:val="both"/>
                    <w:rPr>
                      <w:rFonts w:eastAsiaTheme="minorEastAsia"/>
                      <w:kern w:val="0"/>
                    </w:rPr>
                  </w:pPr>
                  <w:r>
                    <w:rPr>
                      <w:rFonts w:eastAsiaTheme="minorEastAsia"/>
                      <w:bCs/>
                    </w:rPr>
                    <w:t>暂存于灰仓中，外售综合利用。</w:t>
                  </w:r>
                </w:p>
              </w:tc>
              <w:tc>
                <w:tcPr>
                  <w:tcW w:w="665" w:type="pct"/>
                  <w:vAlign w:val="center"/>
                </w:tcPr>
                <w:p>
                  <w:pPr>
                    <w:pStyle w:val="60"/>
                    <w:rPr>
                      <w:rFonts w:eastAsiaTheme="minorEastAsia"/>
                    </w:rPr>
                  </w:pPr>
                  <w:r>
                    <w:rPr>
                      <w:rFonts w:hint="eastAsia" w:eastAsiaTheme="minorEastAsia"/>
                    </w:rPr>
                    <w:t>/</w:t>
                  </w:r>
                </w:p>
              </w:tc>
              <w:tc>
                <w:tcPr>
                  <w:tcW w:w="1917" w:type="pct"/>
                  <w:vMerge w:val="continue"/>
                  <w:vAlign w:val="center"/>
                </w:tcPr>
                <w:p>
                  <w:pPr>
                    <w:pStyle w:val="60"/>
                    <w:rPr>
                      <w:rFonts w:eastAsiaTheme="minorEastAsia"/>
                    </w:rPr>
                  </w:pPr>
                </w:p>
              </w:tc>
              <w:tc>
                <w:tcPr>
                  <w:tcW w:w="379" w:type="pct"/>
                  <w:vMerge w:val="continue"/>
                  <w:vAlign w:val="center"/>
                </w:tcPr>
                <w:p>
                  <w:pPr>
                    <w:pStyle w:val="60"/>
                    <w:rPr>
                      <w:rFonts w:eastAsiaTheme="minorEastAsi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0" w:hRule="atLeast"/>
                <w:jc w:val="center"/>
              </w:trPr>
              <w:tc>
                <w:tcPr>
                  <w:tcW w:w="2037" w:type="pct"/>
                  <w:gridSpan w:val="3"/>
                  <w:vAlign w:val="center"/>
                </w:tcPr>
                <w:p>
                  <w:pPr>
                    <w:pStyle w:val="60"/>
                    <w:rPr>
                      <w:rFonts w:eastAsiaTheme="minorEastAsia"/>
                      <w:kern w:val="0"/>
                    </w:rPr>
                  </w:pPr>
                  <w:r>
                    <w:rPr>
                      <w:rFonts w:eastAsiaTheme="minorEastAsia"/>
                      <w:kern w:val="0"/>
                    </w:rPr>
                    <w:t>合计</w:t>
                  </w:r>
                </w:p>
              </w:tc>
              <w:tc>
                <w:tcPr>
                  <w:tcW w:w="665" w:type="pct"/>
                  <w:vAlign w:val="center"/>
                </w:tcPr>
                <w:p>
                  <w:pPr>
                    <w:pStyle w:val="60"/>
                    <w:rPr>
                      <w:rFonts w:eastAsiaTheme="minorEastAsia"/>
                    </w:rPr>
                  </w:pPr>
                  <w:r>
                    <w:rPr>
                      <w:rFonts w:hint="eastAsia" w:eastAsiaTheme="minorEastAsia"/>
                    </w:rPr>
                    <w:t>23</w:t>
                  </w:r>
                </w:p>
              </w:tc>
              <w:tc>
                <w:tcPr>
                  <w:tcW w:w="1917" w:type="pct"/>
                  <w:vAlign w:val="center"/>
                </w:tcPr>
                <w:p>
                  <w:pPr>
                    <w:pStyle w:val="60"/>
                    <w:rPr>
                      <w:rFonts w:eastAsiaTheme="minorEastAsia"/>
                    </w:rPr>
                  </w:pPr>
                  <w:r>
                    <w:rPr>
                      <w:rFonts w:hint="eastAsia" w:eastAsiaTheme="minorEastAsia"/>
                    </w:rPr>
                    <w:t>/</w:t>
                  </w:r>
                </w:p>
              </w:tc>
              <w:tc>
                <w:tcPr>
                  <w:tcW w:w="379" w:type="pct"/>
                  <w:vAlign w:val="center"/>
                </w:tcPr>
                <w:p>
                  <w:pPr>
                    <w:pStyle w:val="60"/>
                    <w:rPr>
                      <w:rFonts w:eastAsiaTheme="minorEastAsia"/>
                    </w:rPr>
                  </w:pPr>
                  <w:r>
                    <w:rPr>
                      <w:rFonts w:hint="eastAsia" w:eastAsiaTheme="minorEastAsia"/>
                    </w:rPr>
                    <w:t>/</w:t>
                  </w:r>
                </w:p>
              </w:tc>
            </w:tr>
          </w:tbl>
          <w:p>
            <w:pPr>
              <w:pStyle w:val="31"/>
              <w:ind w:firstLine="440"/>
              <w:rPr>
                <w:rFonts w:eastAsiaTheme="minorEastAsia"/>
                <w:color w:val="auto"/>
                <w:spacing w:val="-10"/>
              </w:rPr>
            </w:pPr>
          </w:p>
          <w:p>
            <w:pPr>
              <w:pStyle w:val="31"/>
              <w:ind w:firstLine="440"/>
              <w:rPr>
                <w:rFonts w:eastAsiaTheme="minorEastAsia"/>
                <w:color w:val="auto"/>
                <w:spacing w:val="-10"/>
              </w:rPr>
            </w:pPr>
          </w:p>
          <w:p>
            <w:pPr>
              <w:pStyle w:val="31"/>
              <w:ind w:firstLine="440"/>
              <w:rPr>
                <w:rFonts w:eastAsiaTheme="minorEastAsia"/>
                <w:color w:val="auto"/>
                <w:spacing w:val="-10"/>
              </w:rPr>
            </w:pPr>
          </w:p>
          <w:p>
            <w:pPr>
              <w:pStyle w:val="31"/>
              <w:ind w:firstLine="440"/>
              <w:rPr>
                <w:rFonts w:eastAsiaTheme="minorEastAsia"/>
                <w:color w:val="auto"/>
                <w:spacing w:val="-10"/>
              </w:rPr>
            </w:pPr>
          </w:p>
          <w:p>
            <w:pPr>
              <w:pStyle w:val="31"/>
              <w:ind w:firstLine="440"/>
              <w:rPr>
                <w:rFonts w:eastAsiaTheme="minorEastAsia"/>
                <w:color w:val="auto"/>
                <w:spacing w:val="-10"/>
              </w:rPr>
            </w:pPr>
          </w:p>
          <w:p>
            <w:pPr>
              <w:pStyle w:val="31"/>
              <w:ind w:firstLine="440"/>
              <w:rPr>
                <w:rFonts w:eastAsiaTheme="minorEastAsia"/>
                <w:color w:val="auto"/>
                <w:spacing w:val="-10"/>
              </w:rPr>
            </w:pPr>
          </w:p>
          <w:p>
            <w:pPr>
              <w:pStyle w:val="31"/>
              <w:ind w:firstLine="440"/>
              <w:rPr>
                <w:rFonts w:eastAsiaTheme="minorEastAsia"/>
                <w:color w:val="auto"/>
                <w:spacing w:val="-10"/>
              </w:rPr>
            </w:pPr>
          </w:p>
          <w:p>
            <w:pPr>
              <w:pStyle w:val="31"/>
              <w:ind w:firstLine="440"/>
              <w:rPr>
                <w:rFonts w:eastAsiaTheme="minorEastAsia"/>
                <w:color w:val="auto"/>
                <w:spacing w:val="-10"/>
              </w:rPr>
            </w:pPr>
          </w:p>
          <w:p>
            <w:pPr>
              <w:pStyle w:val="31"/>
              <w:ind w:left="0" w:leftChars="0" w:firstLine="0" w:firstLineChars="0"/>
              <w:rPr>
                <w:rFonts w:eastAsiaTheme="minorEastAsia"/>
                <w:color w:val="auto"/>
                <w:spacing w:val="-10"/>
              </w:rPr>
            </w:pPr>
          </w:p>
        </w:tc>
      </w:tr>
    </w:tbl>
    <w:p>
      <w:pPr>
        <w:adjustRightInd w:val="0"/>
        <w:snapToGrid w:val="0"/>
        <w:spacing w:line="360" w:lineRule="auto"/>
        <w:ind w:firstLine="562"/>
        <w:rPr>
          <w:rFonts w:eastAsiaTheme="minorEastAsia"/>
          <w:b/>
          <w:kern w:val="0"/>
          <w:sz w:val="28"/>
          <w:szCs w:val="28"/>
        </w:rPr>
        <w:sectPr>
          <w:pgSz w:w="11907" w:h="16840"/>
          <w:pgMar w:top="1701" w:right="1531" w:bottom="2127" w:left="1531" w:header="851" w:footer="851" w:gutter="0"/>
          <w:cols w:space="720" w:num="1"/>
          <w:docGrid w:linePitch="312" w:charSpace="0"/>
        </w:sectPr>
      </w:pPr>
    </w:p>
    <w:p>
      <w:pPr>
        <w:pStyle w:val="14"/>
        <w:keepNext w:val="0"/>
        <w:keepLines w:val="0"/>
        <w:pageBreakBefore w:val="0"/>
        <w:widowControl/>
        <w:kinsoku/>
        <w:wordWrap/>
        <w:overflowPunct/>
        <w:topLinePunct w:val="0"/>
        <w:autoSpaceDE/>
        <w:autoSpaceDN/>
        <w:bidi w:val="0"/>
        <w:adjustRightInd/>
        <w:snapToGrid/>
        <w:ind w:firstLine="0"/>
        <w:jc w:val="center"/>
        <w:textAlignment w:val="auto"/>
        <w:outlineLvl w:val="0"/>
        <w:rPr>
          <w:rFonts w:ascii="Times New Roman" w:hAnsi="Times New Roman" w:eastAsiaTheme="minorEastAsia"/>
          <w:snapToGrid w:val="0"/>
          <w:sz w:val="30"/>
          <w:szCs w:val="30"/>
        </w:rPr>
      </w:pPr>
      <w:r>
        <w:rPr>
          <w:rFonts w:ascii="Times New Roman" w:hAnsi="Times New Roman" w:eastAsiaTheme="minorEastAsia"/>
          <w:snapToGrid w:val="0"/>
          <w:sz w:val="30"/>
          <w:szCs w:val="30"/>
        </w:rPr>
        <w:t>五、</w:t>
      </w:r>
      <w:bookmarkStart w:id="3" w:name="_Hlk54167917"/>
      <w:r>
        <w:rPr>
          <w:rFonts w:ascii="Times New Roman" w:hAnsi="Times New Roman" w:eastAsiaTheme="minorEastAsia"/>
          <w:snapToGrid w:val="0"/>
          <w:sz w:val="30"/>
          <w:szCs w:val="30"/>
        </w:rPr>
        <w:t>环境保护措施监督检查清单</w:t>
      </w:r>
      <w:bookmarkEnd w:id="3"/>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600"/>
        <w:gridCol w:w="1467"/>
        <w:gridCol w:w="1616"/>
        <w:gridCol w:w="29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41" w:type="dxa"/>
            <w:tcBorders>
              <w:tl2br w:val="single" w:color="auto" w:sz="4" w:space="0"/>
            </w:tcBorders>
          </w:tcPr>
          <w:p>
            <w:pPr>
              <w:adjustRightInd w:val="0"/>
              <w:snapToGrid w:val="0"/>
              <w:ind w:firstLine="420" w:firstLineChars="200"/>
              <w:rPr>
                <w:rFonts w:eastAsiaTheme="minorEastAsia"/>
                <w:szCs w:val="21"/>
              </w:rPr>
            </w:pPr>
            <w:r>
              <w:rPr>
                <w:rFonts w:eastAsiaTheme="minorEastAsia"/>
                <w:szCs w:val="21"/>
              </w:rPr>
              <w:t>内容</w:t>
            </w:r>
          </w:p>
          <w:p>
            <w:pPr>
              <w:adjustRightInd w:val="0"/>
              <w:snapToGrid w:val="0"/>
              <w:rPr>
                <w:rFonts w:eastAsiaTheme="minorEastAsia"/>
                <w:szCs w:val="21"/>
              </w:rPr>
            </w:pPr>
            <w:r>
              <w:rPr>
                <w:rFonts w:eastAsiaTheme="minorEastAsia"/>
                <w:szCs w:val="21"/>
              </w:rPr>
              <w:t>要素</w:t>
            </w:r>
          </w:p>
        </w:tc>
        <w:tc>
          <w:tcPr>
            <w:tcW w:w="1600" w:type="dxa"/>
            <w:tcBorders>
              <w:bottom w:val="single" w:color="auto" w:sz="4" w:space="0"/>
            </w:tcBorders>
            <w:vAlign w:val="center"/>
          </w:tcPr>
          <w:p>
            <w:pPr>
              <w:adjustRightInd w:val="0"/>
              <w:snapToGrid w:val="0"/>
              <w:jc w:val="center"/>
              <w:rPr>
                <w:rFonts w:eastAsiaTheme="minorEastAsia"/>
                <w:szCs w:val="21"/>
              </w:rPr>
            </w:pPr>
            <w:r>
              <w:rPr>
                <w:rFonts w:eastAsiaTheme="minorEastAsia"/>
                <w:szCs w:val="21"/>
              </w:rPr>
              <w:t>排放口(编号、名称)/污染源</w:t>
            </w:r>
          </w:p>
        </w:tc>
        <w:tc>
          <w:tcPr>
            <w:tcW w:w="1467" w:type="dxa"/>
            <w:tcBorders>
              <w:bottom w:val="single" w:color="auto" w:sz="4" w:space="0"/>
            </w:tcBorders>
            <w:vAlign w:val="center"/>
          </w:tcPr>
          <w:p>
            <w:pPr>
              <w:adjustRightInd w:val="0"/>
              <w:snapToGrid w:val="0"/>
              <w:jc w:val="center"/>
              <w:rPr>
                <w:rFonts w:eastAsiaTheme="minorEastAsia"/>
                <w:szCs w:val="21"/>
              </w:rPr>
            </w:pPr>
            <w:r>
              <w:rPr>
                <w:rFonts w:eastAsiaTheme="minorEastAsia"/>
                <w:szCs w:val="21"/>
              </w:rPr>
              <w:t>污染物项目</w:t>
            </w:r>
          </w:p>
        </w:tc>
        <w:tc>
          <w:tcPr>
            <w:tcW w:w="1616" w:type="dxa"/>
            <w:tcBorders>
              <w:bottom w:val="single" w:color="auto" w:sz="4" w:space="0"/>
            </w:tcBorders>
            <w:vAlign w:val="center"/>
          </w:tcPr>
          <w:p>
            <w:pPr>
              <w:adjustRightInd w:val="0"/>
              <w:snapToGrid w:val="0"/>
              <w:jc w:val="center"/>
              <w:rPr>
                <w:rFonts w:eastAsiaTheme="minorEastAsia"/>
                <w:szCs w:val="21"/>
              </w:rPr>
            </w:pPr>
            <w:r>
              <w:rPr>
                <w:rFonts w:eastAsiaTheme="minorEastAsia"/>
                <w:szCs w:val="21"/>
              </w:rPr>
              <w:t>环境保护措施</w:t>
            </w:r>
          </w:p>
        </w:tc>
        <w:tc>
          <w:tcPr>
            <w:tcW w:w="2976" w:type="dxa"/>
            <w:vAlign w:val="center"/>
          </w:tcPr>
          <w:p>
            <w:pPr>
              <w:adjustRightInd w:val="0"/>
              <w:snapToGrid w:val="0"/>
              <w:jc w:val="center"/>
              <w:rPr>
                <w:rFonts w:eastAsiaTheme="minorEastAsia"/>
                <w:szCs w:val="21"/>
              </w:rPr>
            </w:pPr>
            <w:r>
              <w:rPr>
                <w:rFonts w:eastAsiaTheme="minorEastAsia"/>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141" w:type="dxa"/>
            <w:vMerge w:val="restart"/>
            <w:vAlign w:val="center"/>
          </w:tcPr>
          <w:p>
            <w:pPr>
              <w:adjustRightInd w:val="0"/>
              <w:snapToGrid w:val="0"/>
              <w:jc w:val="center"/>
              <w:rPr>
                <w:rFonts w:eastAsiaTheme="minorEastAsia"/>
                <w:szCs w:val="21"/>
              </w:rPr>
            </w:pPr>
            <w:r>
              <w:rPr>
                <w:rFonts w:eastAsiaTheme="minorEastAsia"/>
                <w:szCs w:val="21"/>
              </w:rPr>
              <w:t>大气环境</w:t>
            </w:r>
          </w:p>
        </w:tc>
        <w:tc>
          <w:tcPr>
            <w:tcW w:w="1600" w:type="dxa"/>
            <w:vAlign w:val="center"/>
          </w:tcPr>
          <w:p>
            <w:pPr>
              <w:adjustRightInd w:val="0"/>
              <w:snapToGrid w:val="0"/>
              <w:jc w:val="center"/>
              <w:rPr>
                <w:rFonts w:hint="eastAsia" w:eastAsiaTheme="minorEastAsia"/>
                <w:szCs w:val="21"/>
                <w:lang w:eastAsia="zh-CN"/>
              </w:rPr>
            </w:pPr>
            <w:r>
              <w:rPr>
                <w:rFonts w:hint="eastAsia" w:eastAsiaTheme="minorEastAsia"/>
                <w:szCs w:val="21"/>
                <w:lang w:eastAsia="zh-CN"/>
              </w:rPr>
              <w:t>卸料废气</w:t>
            </w:r>
          </w:p>
        </w:tc>
        <w:tc>
          <w:tcPr>
            <w:tcW w:w="1467" w:type="dxa"/>
            <w:vAlign w:val="center"/>
          </w:tcPr>
          <w:p>
            <w:pPr>
              <w:adjustRightInd w:val="0"/>
              <w:snapToGrid w:val="0"/>
              <w:jc w:val="center"/>
              <w:rPr>
                <w:rFonts w:eastAsiaTheme="minorEastAsia"/>
                <w:szCs w:val="21"/>
              </w:rPr>
            </w:pPr>
            <w:r>
              <w:rPr>
                <w:rFonts w:hint="eastAsia" w:eastAsiaTheme="minorEastAsia"/>
                <w:szCs w:val="21"/>
              </w:rPr>
              <w:t>颗粒物</w:t>
            </w:r>
          </w:p>
        </w:tc>
        <w:tc>
          <w:tcPr>
            <w:tcW w:w="1616" w:type="dxa"/>
            <w:vAlign w:val="center"/>
          </w:tcPr>
          <w:p>
            <w:pPr>
              <w:adjustRightInd w:val="0"/>
              <w:snapToGrid w:val="0"/>
              <w:jc w:val="both"/>
              <w:rPr>
                <w:rFonts w:eastAsiaTheme="minorEastAsia"/>
                <w:szCs w:val="21"/>
              </w:rPr>
            </w:pPr>
            <w:r>
              <w:rPr>
                <w:rFonts w:hint="eastAsia" w:eastAsiaTheme="minorEastAsia"/>
                <w:szCs w:val="21"/>
              </w:rPr>
              <w:t>下料坑</w:t>
            </w:r>
            <w:r>
              <w:rPr>
                <w:rFonts w:eastAsiaTheme="minorEastAsia"/>
                <w:szCs w:val="21"/>
              </w:rPr>
              <w:t>上方设置集气罩</w:t>
            </w:r>
            <w:r>
              <w:rPr>
                <w:rFonts w:hint="eastAsia" w:eastAsiaTheme="minorEastAsia"/>
                <w:szCs w:val="21"/>
              </w:rPr>
              <w:t>，粉尘经布袋除尘器处理后排放</w:t>
            </w:r>
            <w:r>
              <w:rPr>
                <w:rFonts w:eastAsiaTheme="minorEastAsia"/>
                <w:szCs w:val="21"/>
              </w:rPr>
              <w:t>，</w:t>
            </w:r>
            <w:r>
              <w:rPr>
                <w:rFonts w:hint="eastAsia" w:eastAsiaTheme="minorEastAsia"/>
                <w:szCs w:val="21"/>
              </w:rPr>
              <w:t>下料坑为地下结构</w:t>
            </w:r>
          </w:p>
        </w:tc>
        <w:tc>
          <w:tcPr>
            <w:tcW w:w="2976" w:type="dxa"/>
            <w:vMerge w:val="restart"/>
            <w:vAlign w:val="center"/>
          </w:tcPr>
          <w:p>
            <w:pPr>
              <w:adjustRightInd w:val="0"/>
              <w:snapToGrid w:val="0"/>
              <w:jc w:val="both"/>
              <w:rPr>
                <w:rFonts w:eastAsiaTheme="minorEastAsia"/>
                <w:szCs w:val="21"/>
              </w:rPr>
            </w:pPr>
            <w:r>
              <w:rPr>
                <w:rFonts w:eastAsiaTheme="minorEastAsia"/>
                <w:szCs w:val="21"/>
              </w:rPr>
              <w:t>《大气污染物综合排放标准》（GB165297-1996）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41" w:type="dxa"/>
            <w:vMerge w:val="continue"/>
            <w:vAlign w:val="center"/>
          </w:tcPr>
          <w:p>
            <w:pPr>
              <w:adjustRightInd w:val="0"/>
              <w:snapToGrid w:val="0"/>
              <w:jc w:val="center"/>
              <w:rPr>
                <w:rFonts w:eastAsiaTheme="minorEastAsia"/>
                <w:szCs w:val="21"/>
              </w:rPr>
            </w:pPr>
          </w:p>
        </w:tc>
        <w:tc>
          <w:tcPr>
            <w:tcW w:w="1600" w:type="dxa"/>
            <w:vAlign w:val="center"/>
          </w:tcPr>
          <w:p>
            <w:pPr>
              <w:adjustRightInd w:val="0"/>
              <w:snapToGrid w:val="0"/>
              <w:jc w:val="center"/>
              <w:rPr>
                <w:rFonts w:ascii="Times New Roman" w:hAnsi="Times New Roman" w:cs="Times New Roman" w:eastAsiaTheme="minorEastAsia"/>
                <w:kern w:val="2"/>
                <w:sz w:val="21"/>
                <w:szCs w:val="21"/>
                <w:lang w:val="en-US" w:eastAsia="zh-CN" w:bidi="ar-SA"/>
              </w:rPr>
            </w:pPr>
            <w:r>
              <w:rPr>
                <w:rFonts w:hint="eastAsia" w:eastAsiaTheme="minorEastAsia"/>
                <w:bCs/>
                <w:szCs w:val="21"/>
              </w:rPr>
              <w:t>初清工序粉尘</w:t>
            </w:r>
          </w:p>
        </w:tc>
        <w:tc>
          <w:tcPr>
            <w:tcW w:w="1467" w:type="dxa"/>
            <w:vAlign w:val="center"/>
          </w:tcPr>
          <w:p>
            <w:pPr>
              <w:adjustRightInd w:val="0"/>
              <w:snapToGrid w:val="0"/>
              <w:jc w:val="center"/>
              <w:rPr>
                <w:rFonts w:ascii="Times New Roman" w:hAnsi="Times New Roman" w:cs="Times New Roman" w:eastAsiaTheme="minorEastAsia"/>
                <w:kern w:val="2"/>
                <w:sz w:val="21"/>
                <w:szCs w:val="21"/>
                <w:lang w:val="en-US" w:eastAsia="zh-CN" w:bidi="ar-SA"/>
              </w:rPr>
            </w:pPr>
            <w:r>
              <w:rPr>
                <w:rFonts w:hint="eastAsia" w:eastAsiaTheme="minorEastAsia"/>
                <w:szCs w:val="21"/>
              </w:rPr>
              <w:t>颗粒物</w:t>
            </w:r>
          </w:p>
        </w:tc>
        <w:tc>
          <w:tcPr>
            <w:tcW w:w="1616" w:type="dxa"/>
            <w:vAlign w:val="center"/>
          </w:tcPr>
          <w:p>
            <w:pPr>
              <w:adjustRightInd w:val="0"/>
              <w:snapToGrid w:val="0"/>
              <w:jc w:val="center"/>
              <w:rPr>
                <w:rFonts w:ascii="Times New Roman" w:hAnsi="Times New Roman" w:cs="Times New Roman" w:eastAsiaTheme="minorEastAsia"/>
                <w:kern w:val="2"/>
                <w:sz w:val="21"/>
                <w:szCs w:val="21"/>
                <w:lang w:val="en-US" w:eastAsia="zh-CN" w:bidi="ar-SA"/>
              </w:rPr>
            </w:pPr>
            <w:r>
              <w:rPr>
                <w:rFonts w:hint="eastAsia" w:eastAsiaTheme="minorEastAsia"/>
                <w:szCs w:val="21"/>
              </w:rPr>
              <w:t>布袋除尘器</w:t>
            </w:r>
          </w:p>
        </w:tc>
        <w:tc>
          <w:tcPr>
            <w:tcW w:w="2976" w:type="dxa"/>
            <w:vMerge w:val="continue"/>
            <w:vAlign w:val="center"/>
          </w:tcPr>
          <w:p>
            <w:pPr>
              <w:adjustRightInd w:val="0"/>
              <w:snapToGrid w:val="0"/>
              <w:jc w:val="both"/>
              <w:rPr>
                <w:rFonts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41" w:type="dxa"/>
            <w:vMerge w:val="continue"/>
            <w:vAlign w:val="center"/>
          </w:tcPr>
          <w:p>
            <w:pPr>
              <w:adjustRightInd w:val="0"/>
              <w:snapToGrid w:val="0"/>
              <w:jc w:val="center"/>
              <w:rPr>
                <w:rFonts w:eastAsiaTheme="minorEastAsia"/>
                <w:szCs w:val="21"/>
              </w:rPr>
            </w:pPr>
          </w:p>
        </w:tc>
        <w:tc>
          <w:tcPr>
            <w:tcW w:w="1600" w:type="dxa"/>
            <w:vAlign w:val="center"/>
          </w:tcPr>
          <w:p>
            <w:pPr>
              <w:adjustRightInd w:val="0"/>
              <w:snapToGrid w:val="0"/>
              <w:jc w:val="center"/>
              <w:rPr>
                <w:rFonts w:hint="eastAsia" w:ascii="Times New Roman" w:hAnsi="Times New Roman" w:cs="Times New Roman" w:eastAsiaTheme="minorEastAsia"/>
                <w:kern w:val="2"/>
                <w:sz w:val="21"/>
                <w:szCs w:val="21"/>
                <w:lang w:val="en-US" w:eastAsia="zh-CN" w:bidi="ar-SA"/>
              </w:rPr>
            </w:pPr>
            <w:r>
              <w:rPr>
                <w:rFonts w:hint="eastAsia" w:eastAsiaTheme="minorEastAsia"/>
                <w:bCs/>
                <w:szCs w:val="21"/>
              </w:rPr>
              <w:t>烘干粉尘</w:t>
            </w:r>
          </w:p>
        </w:tc>
        <w:tc>
          <w:tcPr>
            <w:tcW w:w="1467" w:type="dxa"/>
            <w:vAlign w:val="center"/>
          </w:tcPr>
          <w:p>
            <w:pPr>
              <w:adjustRightInd w:val="0"/>
              <w:snapToGrid w:val="0"/>
              <w:jc w:val="center"/>
              <w:rPr>
                <w:rFonts w:hint="eastAsia" w:ascii="Times New Roman" w:hAnsi="Times New Roman" w:cs="Times New Roman" w:eastAsiaTheme="minorEastAsia"/>
                <w:kern w:val="2"/>
                <w:sz w:val="21"/>
                <w:szCs w:val="21"/>
                <w:lang w:val="en-US" w:eastAsia="zh-CN" w:bidi="ar-SA"/>
              </w:rPr>
            </w:pPr>
            <w:r>
              <w:rPr>
                <w:rFonts w:hint="eastAsia" w:eastAsiaTheme="minorEastAsia"/>
                <w:szCs w:val="21"/>
              </w:rPr>
              <w:t>颗粒物</w:t>
            </w:r>
          </w:p>
        </w:tc>
        <w:tc>
          <w:tcPr>
            <w:tcW w:w="1616" w:type="dxa"/>
            <w:vAlign w:val="center"/>
          </w:tcPr>
          <w:p>
            <w:pPr>
              <w:adjustRightInd w:val="0"/>
              <w:snapToGrid w:val="0"/>
              <w:jc w:val="center"/>
              <w:rPr>
                <w:rFonts w:hint="eastAsia" w:ascii="Times New Roman" w:hAnsi="Times New Roman" w:cs="Times New Roman" w:eastAsiaTheme="minorEastAsia"/>
                <w:kern w:val="2"/>
                <w:sz w:val="21"/>
                <w:szCs w:val="21"/>
                <w:lang w:val="en-US" w:eastAsia="zh-CN" w:bidi="ar-SA"/>
              </w:rPr>
            </w:pPr>
            <w:r>
              <w:rPr>
                <w:rFonts w:hint="eastAsia" w:eastAsiaTheme="minorEastAsia"/>
                <w:szCs w:val="21"/>
              </w:rPr>
              <w:t>厂房封闭</w:t>
            </w:r>
          </w:p>
        </w:tc>
        <w:tc>
          <w:tcPr>
            <w:tcW w:w="2976" w:type="dxa"/>
            <w:vAlign w:val="center"/>
          </w:tcPr>
          <w:p>
            <w:pPr>
              <w:adjustRightInd w:val="0"/>
              <w:snapToGrid w:val="0"/>
              <w:jc w:val="both"/>
              <w:rPr>
                <w:rFonts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141" w:type="dxa"/>
            <w:vMerge w:val="continue"/>
            <w:vAlign w:val="center"/>
          </w:tcPr>
          <w:p>
            <w:pPr>
              <w:adjustRightInd w:val="0"/>
              <w:snapToGrid w:val="0"/>
              <w:jc w:val="center"/>
              <w:rPr>
                <w:rFonts w:eastAsiaTheme="minorEastAsia"/>
                <w:szCs w:val="21"/>
              </w:rPr>
            </w:pPr>
          </w:p>
        </w:tc>
        <w:tc>
          <w:tcPr>
            <w:tcW w:w="1600" w:type="dxa"/>
            <w:vAlign w:val="center"/>
          </w:tcPr>
          <w:p>
            <w:pPr>
              <w:adjustRightInd w:val="0"/>
              <w:snapToGrid w:val="0"/>
              <w:jc w:val="center"/>
              <w:rPr>
                <w:rFonts w:eastAsiaTheme="minorEastAsia"/>
                <w:szCs w:val="21"/>
              </w:rPr>
            </w:pPr>
            <w:r>
              <w:rPr>
                <w:rFonts w:eastAsiaTheme="minorEastAsia"/>
                <w:szCs w:val="21"/>
              </w:rPr>
              <w:t>燃</w:t>
            </w:r>
            <w:r>
              <w:rPr>
                <w:rFonts w:hint="eastAsia" w:eastAsiaTheme="minorEastAsia"/>
                <w:szCs w:val="21"/>
              </w:rPr>
              <w:t>生物质</w:t>
            </w:r>
            <w:r>
              <w:rPr>
                <w:rFonts w:eastAsiaTheme="minorEastAsia"/>
                <w:szCs w:val="21"/>
              </w:rPr>
              <w:t>热风炉</w:t>
            </w:r>
          </w:p>
        </w:tc>
        <w:tc>
          <w:tcPr>
            <w:tcW w:w="1467" w:type="dxa"/>
            <w:vAlign w:val="center"/>
          </w:tcPr>
          <w:p>
            <w:pPr>
              <w:pStyle w:val="60"/>
              <w:rPr>
                <w:rFonts w:eastAsiaTheme="minorEastAsia"/>
              </w:rPr>
            </w:pPr>
            <w:r>
              <w:rPr>
                <w:rFonts w:eastAsiaTheme="minorEastAsia"/>
              </w:rPr>
              <w:t>颗粒物</w:t>
            </w:r>
          </w:p>
          <w:p>
            <w:pPr>
              <w:pStyle w:val="60"/>
              <w:rPr>
                <w:rFonts w:eastAsiaTheme="minorEastAsia"/>
              </w:rPr>
            </w:pPr>
            <w:r>
              <w:rPr>
                <w:rFonts w:eastAsiaTheme="minorEastAsia"/>
              </w:rPr>
              <w:t>SO</w:t>
            </w:r>
            <w:r>
              <w:rPr>
                <w:rFonts w:eastAsiaTheme="minorEastAsia"/>
                <w:vertAlign w:val="subscript"/>
              </w:rPr>
              <w:t>2</w:t>
            </w:r>
          </w:p>
          <w:p>
            <w:pPr>
              <w:adjustRightInd w:val="0"/>
              <w:snapToGrid w:val="0"/>
              <w:jc w:val="center"/>
              <w:rPr>
                <w:rFonts w:eastAsiaTheme="minorEastAsia"/>
                <w:vertAlign w:val="subscript"/>
              </w:rPr>
            </w:pPr>
            <w:r>
              <w:rPr>
                <w:rFonts w:eastAsiaTheme="minorEastAsia"/>
              </w:rPr>
              <w:t>NO</w:t>
            </w:r>
            <w:r>
              <w:rPr>
                <w:rFonts w:eastAsiaTheme="minorEastAsia"/>
                <w:vertAlign w:val="subscript"/>
              </w:rPr>
              <w:t>X</w:t>
            </w:r>
          </w:p>
          <w:p>
            <w:pPr>
              <w:adjustRightInd w:val="0"/>
              <w:snapToGrid w:val="0"/>
              <w:jc w:val="center"/>
              <w:rPr>
                <w:rFonts w:eastAsiaTheme="minorEastAsia"/>
                <w:szCs w:val="21"/>
              </w:rPr>
            </w:pPr>
            <w:r>
              <w:rPr>
                <w:rFonts w:eastAsiaTheme="minorEastAsia"/>
              </w:rPr>
              <w:t>林格曼黑度</w:t>
            </w:r>
          </w:p>
        </w:tc>
        <w:tc>
          <w:tcPr>
            <w:tcW w:w="1616" w:type="dxa"/>
            <w:vAlign w:val="center"/>
          </w:tcPr>
          <w:p>
            <w:pPr>
              <w:adjustRightInd w:val="0"/>
              <w:snapToGrid w:val="0"/>
              <w:jc w:val="center"/>
              <w:rPr>
                <w:rFonts w:eastAsiaTheme="minorEastAsia"/>
                <w:szCs w:val="21"/>
              </w:rPr>
            </w:pPr>
            <w:r>
              <w:rPr>
                <w:rFonts w:hint="eastAsia" w:eastAsiaTheme="minorEastAsia"/>
              </w:rPr>
              <w:t>布袋除尘器</w:t>
            </w:r>
          </w:p>
        </w:tc>
        <w:tc>
          <w:tcPr>
            <w:tcW w:w="2976" w:type="dxa"/>
            <w:vAlign w:val="center"/>
          </w:tcPr>
          <w:p>
            <w:pPr>
              <w:adjustRightInd w:val="0"/>
              <w:snapToGrid w:val="0"/>
              <w:jc w:val="both"/>
              <w:rPr>
                <w:rFonts w:eastAsiaTheme="minorEastAsia"/>
                <w:color w:val="FF0000"/>
                <w:szCs w:val="21"/>
              </w:rPr>
            </w:pPr>
            <w:r>
              <w:rPr>
                <w:rFonts w:hint="eastAsia" w:eastAsiaTheme="minorEastAsia"/>
                <w:lang w:eastAsia="zh-CN"/>
              </w:rPr>
              <w:t>烟尘、二氧化硫、林格曼黑度执行《工业炉窑大气污染物排放标准》（</w:t>
            </w:r>
            <w:r>
              <w:rPr>
                <w:rFonts w:hint="eastAsia" w:eastAsiaTheme="minorEastAsia"/>
                <w:lang w:val="en-US" w:eastAsia="zh-CN"/>
              </w:rPr>
              <w:t>GB9078-1996</w:t>
            </w:r>
            <w:r>
              <w:rPr>
                <w:rFonts w:hint="eastAsia" w:eastAsiaTheme="minorEastAsia"/>
                <w:lang w:eastAsia="zh-CN"/>
              </w:rPr>
              <w:t>）中相关标准，氮氧化物执行</w:t>
            </w:r>
            <w:r>
              <w:rPr>
                <w:rFonts w:hint="default" w:eastAsiaTheme="minorEastAsia"/>
              </w:rPr>
              <w:t>《大气污染物综合排放标准》（GB16297-1996）表</w:t>
            </w:r>
            <w:r>
              <w:rPr>
                <w:rFonts w:hint="eastAsia" w:eastAsiaTheme="minorEastAsia"/>
                <w:lang w:val="en-US" w:eastAsia="zh-CN"/>
              </w:rPr>
              <w:t>2中有组织限值。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141" w:type="dxa"/>
            <w:vMerge w:val="continue"/>
            <w:vAlign w:val="center"/>
          </w:tcPr>
          <w:p>
            <w:pPr>
              <w:adjustRightInd w:val="0"/>
              <w:snapToGrid w:val="0"/>
              <w:jc w:val="center"/>
              <w:rPr>
                <w:rFonts w:eastAsiaTheme="minorEastAsia"/>
                <w:szCs w:val="21"/>
              </w:rPr>
            </w:pPr>
          </w:p>
        </w:tc>
        <w:tc>
          <w:tcPr>
            <w:tcW w:w="1600" w:type="dxa"/>
            <w:vAlign w:val="center"/>
          </w:tcPr>
          <w:p>
            <w:pPr>
              <w:adjustRightInd w:val="0"/>
              <w:snapToGrid w:val="0"/>
              <w:jc w:val="center"/>
              <w:rPr>
                <w:rFonts w:eastAsiaTheme="minorEastAsia"/>
              </w:rPr>
            </w:pPr>
            <w:r>
              <w:rPr>
                <w:rFonts w:hint="eastAsia" w:eastAsiaTheme="minorEastAsia"/>
              </w:rPr>
              <w:t>食堂油烟</w:t>
            </w:r>
          </w:p>
        </w:tc>
        <w:tc>
          <w:tcPr>
            <w:tcW w:w="1467" w:type="dxa"/>
            <w:vAlign w:val="center"/>
          </w:tcPr>
          <w:p>
            <w:pPr>
              <w:adjustRightInd w:val="0"/>
              <w:snapToGrid w:val="0"/>
              <w:jc w:val="center"/>
              <w:rPr>
                <w:rFonts w:eastAsiaTheme="minorEastAsia"/>
                <w:szCs w:val="21"/>
              </w:rPr>
            </w:pPr>
            <w:r>
              <w:rPr>
                <w:rFonts w:hint="eastAsia" w:eastAsiaTheme="minorEastAsia"/>
                <w:szCs w:val="21"/>
              </w:rPr>
              <w:t>油烟</w:t>
            </w:r>
          </w:p>
        </w:tc>
        <w:tc>
          <w:tcPr>
            <w:tcW w:w="1616" w:type="dxa"/>
            <w:tcBorders>
              <w:bottom w:val="single" w:color="auto" w:sz="4" w:space="0"/>
            </w:tcBorders>
            <w:vAlign w:val="center"/>
          </w:tcPr>
          <w:p>
            <w:pPr>
              <w:adjustRightInd w:val="0"/>
              <w:snapToGrid w:val="0"/>
              <w:jc w:val="center"/>
              <w:rPr>
                <w:rFonts w:eastAsiaTheme="minorEastAsia"/>
                <w:szCs w:val="21"/>
              </w:rPr>
            </w:pPr>
            <w:r>
              <w:rPr>
                <w:rFonts w:hint="eastAsia" w:eastAsiaTheme="minorEastAsia"/>
                <w:szCs w:val="21"/>
              </w:rPr>
              <w:t>油烟净化器</w:t>
            </w:r>
          </w:p>
        </w:tc>
        <w:tc>
          <w:tcPr>
            <w:tcW w:w="2976" w:type="dxa"/>
            <w:tcBorders>
              <w:bottom w:val="single" w:color="auto" w:sz="4" w:space="0"/>
            </w:tcBorders>
            <w:vAlign w:val="center"/>
          </w:tcPr>
          <w:p>
            <w:pPr>
              <w:adjustRightInd w:val="0"/>
              <w:snapToGrid w:val="0"/>
              <w:jc w:val="both"/>
              <w:rPr>
                <w:rFonts w:eastAsiaTheme="minorEastAsia"/>
                <w:szCs w:val="21"/>
              </w:rPr>
            </w:pPr>
            <w:r>
              <w:rPr>
                <w:rFonts w:eastAsiaTheme="minorEastAsia"/>
              </w:rPr>
              <w:t>《饮食业油烟排放标准（试行）》（GB18483-2001）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41" w:type="dxa"/>
            <w:vAlign w:val="center"/>
          </w:tcPr>
          <w:p>
            <w:pPr>
              <w:adjustRightInd w:val="0"/>
              <w:snapToGrid w:val="0"/>
              <w:jc w:val="center"/>
              <w:rPr>
                <w:rFonts w:eastAsiaTheme="minorEastAsia"/>
                <w:szCs w:val="21"/>
              </w:rPr>
            </w:pPr>
            <w:r>
              <w:rPr>
                <w:rFonts w:eastAsiaTheme="minorEastAsia"/>
                <w:szCs w:val="21"/>
              </w:rPr>
              <w:t>地表水环境</w:t>
            </w:r>
          </w:p>
        </w:tc>
        <w:tc>
          <w:tcPr>
            <w:tcW w:w="1600" w:type="dxa"/>
            <w:vAlign w:val="center"/>
          </w:tcPr>
          <w:p>
            <w:pPr>
              <w:adjustRightInd w:val="0"/>
              <w:snapToGrid w:val="0"/>
              <w:jc w:val="center"/>
              <w:rPr>
                <w:rFonts w:eastAsiaTheme="minorEastAsia"/>
                <w:szCs w:val="21"/>
              </w:rPr>
            </w:pPr>
            <w:r>
              <w:rPr>
                <w:rFonts w:hint="eastAsia" w:eastAsiaTheme="minorEastAsia"/>
                <w:szCs w:val="21"/>
              </w:rPr>
              <w:t>生活污水</w:t>
            </w:r>
          </w:p>
        </w:tc>
        <w:tc>
          <w:tcPr>
            <w:tcW w:w="1467" w:type="dxa"/>
            <w:vAlign w:val="center"/>
          </w:tcPr>
          <w:p>
            <w:pPr>
              <w:adjustRightInd w:val="0"/>
              <w:snapToGrid w:val="0"/>
              <w:jc w:val="center"/>
              <w:rPr>
                <w:rFonts w:eastAsiaTheme="minorEastAsia"/>
                <w:szCs w:val="21"/>
              </w:rPr>
            </w:pPr>
            <w:r>
              <w:rPr>
                <w:rFonts w:eastAsiaTheme="minorEastAsia"/>
              </w:rPr>
              <w:t>P</w:t>
            </w:r>
            <w:r>
              <w:rPr>
                <w:rFonts w:hint="eastAsia" w:eastAsiaTheme="minorEastAsia"/>
              </w:rPr>
              <w:t>H、SS、BOD</w:t>
            </w:r>
            <w:r>
              <w:rPr>
                <w:rFonts w:hint="eastAsia" w:eastAsiaTheme="minorEastAsia"/>
                <w:vertAlign w:val="subscript"/>
              </w:rPr>
              <w:t>5</w:t>
            </w:r>
            <w:r>
              <w:rPr>
                <w:rFonts w:hint="eastAsia" w:eastAsiaTheme="minorEastAsia"/>
              </w:rPr>
              <w:t>、COD、动植物油、氨氮</w:t>
            </w:r>
          </w:p>
        </w:tc>
        <w:tc>
          <w:tcPr>
            <w:tcW w:w="1616" w:type="dxa"/>
            <w:vAlign w:val="center"/>
          </w:tcPr>
          <w:p>
            <w:pPr>
              <w:adjustRightInd w:val="0"/>
              <w:snapToGrid w:val="0"/>
              <w:jc w:val="center"/>
              <w:rPr>
                <w:rFonts w:eastAsiaTheme="minorEastAsia"/>
                <w:szCs w:val="21"/>
              </w:rPr>
            </w:pPr>
            <w:r>
              <w:rPr>
                <w:rFonts w:hint="eastAsia" w:eastAsiaTheme="minorEastAsia"/>
              </w:rPr>
              <w:t>化粪池</w:t>
            </w:r>
          </w:p>
        </w:tc>
        <w:tc>
          <w:tcPr>
            <w:tcW w:w="2976" w:type="dxa"/>
            <w:vAlign w:val="center"/>
          </w:tcPr>
          <w:p>
            <w:pPr>
              <w:adjustRightInd w:val="0"/>
              <w:snapToGrid w:val="0"/>
              <w:jc w:val="both"/>
              <w:rPr>
                <w:rFonts w:eastAsiaTheme="minorEastAsia"/>
                <w:szCs w:val="21"/>
              </w:rPr>
            </w:pPr>
            <w:r>
              <w:rPr>
                <w:rFonts w:eastAsiaTheme="minorEastAsia"/>
              </w:rPr>
              <w:t>《污水综合排放标准》（GB8978-1996）三级标准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41" w:type="dxa"/>
            <w:vAlign w:val="center"/>
          </w:tcPr>
          <w:p>
            <w:pPr>
              <w:adjustRightInd w:val="0"/>
              <w:snapToGrid w:val="0"/>
              <w:jc w:val="center"/>
              <w:rPr>
                <w:rFonts w:eastAsiaTheme="minorEastAsia"/>
                <w:szCs w:val="21"/>
              </w:rPr>
            </w:pPr>
            <w:r>
              <w:rPr>
                <w:rFonts w:eastAsiaTheme="minorEastAsia"/>
                <w:szCs w:val="21"/>
              </w:rPr>
              <w:t>声环境</w:t>
            </w:r>
          </w:p>
        </w:tc>
        <w:tc>
          <w:tcPr>
            <w:tcW w:w="1600" w:type="dxa"/>
            <w:vAlign w:val="center"/>
          </w:tcPr>
          <w:p>
            <w:pPr>
              <w:adjustRightInd w:val="0"/>
              <w:snapToGrid w:val="0"/>
              <w:jc w:val="center"/>
              <w:rPr>
                <w:rFonts w:eastAsiaTheme="minorEastAsia"/>
                <w:szCs w:val="21"/>
              </w:rPr>
            </w:pPr>
            <w:r>
              <w:rPr>
                <w:rFonts w:eastAsiaTheme="minorEastAsia"/>
                <w:szCs w:val="21"/>
              </w:rPr>
              <w:t>各类设备</w:t>
            </w:r>
          </w:p>
        </w:tc>
        <w:tc>
          <w:tcPr>
            <w:tcW w:w="1467" w:type="dxa"/>
            <w:vAlign w:val="center"/>
          </w:tcPr>
          <w:p>
            <w:pPr>
              <w:adjustRightInd w:val="0"/>
              <w:snapToGrid w:val="0"/>
              <w:jc w:val="center"/>
              <w:rPr>
                <w:rFonts w:eastAsiaTheme="minorEastAsia"/>
                <w:szCs w:val="21"/>
              </w:rPr>
            </w:pPr>
            <w:r>
              <w:rPr>
                <w:rFonts w:eastAsiaTheme="minorEastAsia"/>
                <w:szCs w:val="21"/>
              </w:rPr>
              <w:t>噪声</w:t>
            </w:r>
          </w:p>
        </w:tc>
        <w:tc>
          <w:tcPr>
            <w:tcW w:w="1616" w:type="dxa"/>
            <w:vAlign w:val="center"/>
          </w:tcPr>
          <w:p>
            <w:pPr>
              <w:adjustRightInd w:val="0"/>
              <w:snapToGrid w:val="0"/>
              <w:jc w:val="center"/>
              <w:rPr>
                <w:rFonts w:eastAsiaTheme="minorEastAsia"/>
                <w:szCs w:val="21"/>
              </w:rPr>
            </w:pPr>
            <w:r>
              <w:rPr>
                <w:rFonts w:eastAsiaTheme="minorEastAsia"/>
                <w:szCs w:val="21"/>
              </w:rPr>
              <w:t>车间全封闭+基础减振</w:t>
            </w:r>
          </w:p>
        </w:tc>
        <w:tc>
          <w:tcPr>
            <w:tcW w:w="2976" w:type="dxa"/>
            <w:vAlign w:val="center"/>
          </w:tcPr>
          <w:p>
            <w:pPr>
              <w:adjustRightInd w:val="0"/>
              <w:snapToGrid w:val="0"/>
              <w:jc w:val="both"/>
              <w:rPr>
                <w:rFonts w:eastAsiaTheme="minorEastAsia"/>
                <w:szCs w:val="21"/>
              </w:rPr>
            </w:pPr>
            <w:r>
              <w:rPr>
                <w:rFonts w:eastAsiaTheme="minorEastAsia"/>
                <w:szCs w:val="21"/>
              </w:rPr>
              <w:t>《工业企业厂界环境噪声排放标准》（GB12348-2008）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41" w:type="dxa"/>
            <w:vAlign w:val="center"/>
          </w:tcPr>
          <w:p>
            <w:pPr>
              <w:adjustRightInd w:val="0"/>
              <w:snapToGrid w:val="0"/>
              <w:jc w:val="center"/>
              <w:rPr>
                <w:rFonts w:eastAsiaTheme="minorEastAsia"/>
                <w:szCs w:val="21"/>
              </w:rPr>
            </w:pPr>
            <w:r>
              <w:rPr>
                <w:rFonts w:eastAsiaTheme="minorEastAsia"/>
                <w:szCs w:val="21"/>
              </w:rPr>
              <w:t>电磁辐射</w:t>
            </w:r>
          </w:p>
        </w:tc>
        <w:tc>
          <w:tcPr>
            <w:tcW w:w="1600" w:type="dxa"/>
            <w:vAlign w:val="center"/>
          </w:tcPr>
          <w:p>
            <w:pPr>
              <w:adjustRightInd w:val="0"/>
              <w:snapToGrid w:val="0"/>
              <w:jc w:val="center"/>
              <w:rPr>
                <w:rFonts w:eastAsiaTheme="minorEastAsia"/>
                <w:szCs w:val="21"/>
              </w:rPr>
            </w:pPr>
            <w:r>
              <w:rPr>
                <w:rFonts w:eastAsiaTheme="minorEastAsia"/>
                <w:szCs w:val="21"/>
              </w:rPr>
              <w:t>/</w:t>
            </w:r>
          </w:p>
        </w:tc>
        <w:tc>
          <w:tcPr>
            <w:tcW w:w="1467" w:type="dxa"/>
            <w:vAlign w:val="center"/>
          </w:tcPr>
          <w:p>
            <w:pPr>
              <w:adjustRightInd w:val="0"/>
              <w:snapToGrid w:val="0"/>
              <w:jc w:val="center"/>
              <w:rPr>
                <w:rFonts w:eastAsiaTheme="minorEastAsia"/>
                <w:szCs w:val="21"/>
              </w:rPr>
            </w:pPr>
            <w:r>
              <w:rPr>
                <w:rFonts w:eastAsiaTheme="minorEastAsia"/>
                <w:szCs w:val="21"/>
              </w:rPr>
              <w:t>/</w:t>
            </w:r>
          </w:p>
        </w:tc>
        <w:tc>
          <w:tcPr>
            <w:tcW w:w="1616" w:type="dxa"/>
            <w:vAlign w:val="center"/>
          </w:tcPr>
          <w:p>
            <w:pPr>
              <w:adjustRightInd w:val="0"/>
              <w:snapToGrid w:val="0"/>
              <w:jc w:val="center"/>
              <w:rPr>
                <w:rFonts w:eastAsiaTheme="minorEastAsia"/>
                <w:szCs w:val="21"/>
              </w:rPr>
            </w:pPr>
            <w:r>
              <w:rPr>
                <w:rFonts w:eastAsiaTheme="minorEastAsia"/>
                <w:szCs w:val="21"/>
              </w:rPr>
              <w:t>/</w:t>
            </w:r>
          </w:p>
        </w:tc>
        <w:tc>
          <w:tcPr>
            <w:tcW w:w="2976" w:type="dxa"/>
            <w:vAlign w:val="center"/>
          </w:tcPr>
          <w:p>
            <w:pPr>
              <w:adjustRightInd w:val="0"/>
              <w:snapToGrid w:val="0"/>
              <w:jc w:val="center"/>
              <w:rPr>
                <w:rFonts w:eastAsiaTheme="minorEastAsia"/>
                <w:szCs w:val="21"/>
              </w:rPr>
            </w:pPr>
            <w:r>
              <w:rPr>
                <w:rFonts w:eastAsiaTheme="minor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41" w:type="dxa"/>
            <w:vAlign w:val="center"/>
          </w:tcPr>
          <w:p>
            <w:pPr>
              <w:adjustRightInd w:val="0"/>
              <w:snapToGrid w:val="0"/>
              <w:jc w:val="center"/>
              <w:rPr>
                <w:rFonts w:eastAsiaTheme="minorEastAsia"/>
                <w:szCs w:val="21"/>
              </w:rPr>
            </w:pPr>
            <w:r>
              <w:rPr>
                <w:rFonts w:eastAsiaTheme="minorEastAsia"/>
                <w:szCs w:val="21"/>
              </w:rPr>
              <w:t>固体废物</w:t>
            </w:r>
          </w:p>
        </w:tc>
        <w:tc>
          <w:tcPr>
            <w:tcW w:w="7659" w:type="dxa"/>
            <w:gridSpan w:val="4"/>
            <w:vAlign w:val="center"/>
          </w:tcPr>
          <w:p>
            <w:pPr>
              <w:adjustRightInd w:val="0"/>
              <w:snapToGrid w:val="0"/>
              <w:jc w:val="both"/>
              <w:rPr>
                <w:rFonts w:eastAsiaTheme="minorEastAsia"/>
              </w:rPr>
            </w:pPr>
            <w:r>
              <w:rPr>
                <w:rFonts w:eastAsiaTheme="minorEastAsia"/>
              </w:rPr>
              <w:t>生活垃圾分类收集后交由环卫部门处理。</w:t>
            </w:r>
          </w:p>
          <w:p>
            <w:pPr>
              <w:adjustRightInd w:val="0"/>
              <w:snapToGrid w:val="0"/>
              <w:jc w:val="both"/>
              <w:rPr>
                <w:rFonts w:eastAsiaTheme="minorEastAsia"/>
              </w:rPr>
            </w:pPr>
            <w:r>
              <w:rPr>
                <w:rFonts w:eastAsiaTheme="minorEastAsia"/>
              </w:rPr>
              <w:t>粮食初清</w:t>
            </w:r>
            <w:r>
              <w:rPr>
                <w:rStyle w:val="68"/>
                <w:rFonts w:eastAsiaTheme="minorEastAsia"/>
                <w:b w:val="0"/>
              </w:rPr>
              <w:t>杂质</w:t>
            </w:r>
            <w:r>
              <w:rPr>
                <w:rFonts w:eastAsiaTheme="minorEastAsia"/>
                <w:bCs/>
                <w:smallCaps/>
                <w:spacing w:val="5"/>
              </w:rPr>
              <w:t>集中收集，外售综合利用</w:t>
            </w:r>
            <w:r>
              <w:rPr>
                <w:rFonts w:eastAsiaTheme="minorEastAsia"/>
              </w:rPr>
              <w:t>。</w:t>
            </w:r>
          </w:p>
          <w:p>
            <w:pPr>
              <w:adjustRightInd w:val="0"/>
              <w:snapToGrid w:val="0"/>
              <w:jc w:val="both"/>
              <w:rPr>
                <w:rFonts w:eastAsiaTheme="minorEastAsia"/>
                <w:bCs/>
                <w:szCs w:val="21"/>
              </w:rPr>
            </w:pPr>
            <w:r>
              <w:rPr>
                <w:rFonts w:eastAsiaTheme="minorEastAsia"/>
                <w:bCs/>
                <w:szCs w:val="21"/>
              </w:rPr>
              <w:t>收集灰集中收集，统一清运处理</w:t>
            </w:r>
            <w:r>
              <w:rPr>
                <w:rFonts w:hint="eastAsia" w:eastAsiaTheme="minorEastAsia"/>
                <w:bCs/>
                <w:szCs w:val="21"/>
              </w:rPr>
              <w:t>。</w:t>
            </w:r>
          </w:p>
          <w:p>
            <w:pPr>
              <w:adjustRightInd w:val="0"/>
              <w:snapToGrid w:val="0"/>
              <w:jc w:val="both"/>
              <w:rPr>
                <w:rFonts w:eastAsiaTheme="minorEastAsia"/>
              </w:rPr>
            </w:pPr>
            <w:r>
              <w:rPr>
                <w:rFonts w:eastAsiaTheme="minorEastAsia"/>
                <w:bCs/>
                <w:szCs w:val="21"/>
              </w:rPr>
              <w:t>热风炉灰渣</w:t>
            </w:r>
            <w:r>
              <w:rPr>
                <w:rFonts w:eastAsiaTheme="minorEastAsia"/>
                <w:bCs/>
              </w:rPr>
              <w:t>暂存于灰仓中，外售综合利用。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41" w:type="dxa"/>
            <w:vAlign w:val="center"/>
          </w:tcPr>
          <w:p>
            <w:pPr>
              <w:adjustRightInd w:val="0"/>
              <w:snapToGrid w:val="0"/>
              <w:jc w:val="center"/>
              <w:rPr>
                <w:rFonts w:eastAsiaTheme="minorEastAsia"/>
                <w:szCs w:val="21"/>
              </w:rPr>
            </w:pPr>
            <w:r>
              <w:rPr>
                <w:rFonts w:eastAsiaTheme="minorEastAsia"/>
                <w:szCs w:val="21"/>
              </w:rPr>
              <w:t>土壤及地下水</w:t>
            </w:r>
          </w:p>
          <w:p>
            <w:pPr>
              <w:adjustRightInd w:val="0"/>
              <w:snapToGrid w:val="0"/>
              <w:jc w:val="center"/>
              <w:rPr>
                <w:rFonts w:eastAsiaTheme="minorEastAsia"/>
                <w:szCs w:val="21"/>
              </w:rPr>
            </w:pPr>
            <w:r>
              <w:rPr>
                <w:rFonts w:eastAsiaTheme="minorEastAsia"/>
                <w:szCs w:val="21"/>
              </w:rPr>
              <w:t>污染防治措施</w:t>
            </w:r>
          </w:p>
        </w:tc>
        <w:tc>
          <w:tcPr>
            <w:tcW w:w="7659" w:type="dxa"/>
            <w:gridSpan w:val="4"/>
            <w:vAlign w:val="center"/>
          </w:tcPr>
          <w:p>
            <w:pPr>
              <w:adjustRightInd w:val="0"/>
              <w:snapToGrid w:val="0"/>
              <w:jc w:val="both"/>
              <w:rPr>
                <w:rFonts w:eastAsiaTheme="minorEastAsia"/>
              </w:rPr>
            </w:pPr>
            <w:r>
              <w:rPr>
                <w:rFonts w:eastAsiaTheme="minorEastAsia"/>
              </w:rPr>
              <w:t>重点防渗区：等效黏土防渗层Mb≥6.0m，K≤1×10</w:t>
            </w:r>
            <w:r>
              <w:rPr>
                <w:rFonts w:eastAsiaTheme="minorEastAsia"/>
                <w:vertAlign w:val="superscript"/>
              </w:rPr>
              <w:t>-7</w:t>
            </w:r>
            <w:r>
              <w:rPr>
                <w:rFonts w:eastAsiaTheme="minorEastAsia"/>
              </w:rPr>
              <w:t>cm/s；或参照GB18598执行；本项目重点防渗区为药品库。</w:t>
            </w:r>
          </w:p>
          <w:p>
            <w:pPr>
              <w:adjustRightInd w:val="0"/>
              <w:snapToGrid w:val="0"/>
              <w:jc w:val="both"/>
              <w:rPr>
                <w:rFonts w:eastAsiaTheme="minorEastAsia"/>
              </w:rPr>
            </w:pPr>
            <w:r>
              <w:rPr>
                <w:rFonts w:eastAsiaTheme="minorEastAsia"/>
              </w:rPr>
              <w:t>一般防渗区：等效粘土防渗层Mb</w:t>
            </w:r>
            <w:r>
              <w:rPr>
                <w:rFonts w:hint="eastAsia" w:ascii="宋体" w:hAnsi="宋体" w:cs="宋体"/>
              </w:rPr>
              <w:t>≧</w:t>
            </w:r>
            <w:r>
              <w:rPr>
                <w:rFonts w:eastAsiaTheme="minorEastAsia"/>
              </w:rPr>
              <w:t>1.5m，渗透系数≤1.0×10</w:t>
            </w:r>
            <w:r>
              <w:rPr>
                <w:rFonts w:eastAsiaTheme="minorEastAsia"/>
                <w:vertAlign w:val="superscript"/>
              </w:rPr>
              <w:t>-7</w:t>
            </w:r>
            <w:r>
              <w:rPr>
                <w:rFonts w:eastAsiaTheme="minorEastAsia"/>
              </w:rPr>
              <w:t>cm/s；或参照GB18598执行；本项目一般防渗区包括热风炉房、机械库、化粪池</w:t>
            </w:r>
            <w:r>
              <w:rPr>
                <w:rFonts w:hint="eastAsia" w:eastAsiaTheme="minorEastAsia"/>
              </w:rPr>
              <w:t>、灰库</w:t>
            </w:r>
            <w:r>
              <w:rPr>
                <w:rFonts w:eastAsiaTheme="minorEastAsia"/>
              </w:rPr>
              <w:t>等区域。</w:t>
            </w:r>
          </w:p>
          <w:p>
            <w:pPr>
              <w:adjustRightInd w:val="0"/>
              <w:snapToGrid w:val="0"/>
              <w:jc w:val="both"/>
              <w:rPr>
                <w:rFonts w:eastAsiaTheme="minorEastAsia"/>
              </w:rPr>
            </w:pPr>
            <w:r>
              <w:rPr>
                <w:rFonts w:eastAsiaTheme="minorEastAsia"/>
              </w:rPr>
              <w:t>简单防渗区：一般地面硬化；本项目简单防渗区包括烘干中心、平方仓、业务用房、食堂、一站式服务中心。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41" w:type="dxa"/>
            <w:vAlign w:val="center"/>
          </w:tcPr>
          <w:p>
            <w:pPr>
              <w:adjustRightInd w:val="0"/>
              <w:snapToGrid w:val="0"/>
              <w:jc w:val="center"/>
              <w:rPr>
                <w:rFonts w:eastAsiaTheme="minorEastAsia"/>
                <w:szCs w:val="21"/>
              </w:rPr>
            </w:pPr>
            <w:r>
              <w:rPr>
                <w:rFonts w:eastAsiaTheme="minorEastAsia"/>
                <w:szCs w:val="21"/>
              </w:rPr>
              <w:t>生态保护措施</w:t>
            </w:r>
          </w:p>
        </w:tc>
        <w:tc>
          <w:tcPr>
            <w:tcW w:w="7659" w:type="dxa"/>
            <w:gridSpan w:val="4"/>
            <w:vAlign w:val="center"/>
          </w:tcPr>
          <w:p>
            <w:pPr>
              <w:adjustRightInd w:val="0"/>
              <w:snapToGrid w:val="0"/>
              <w:jc w:val="both"/>
              <w:rPr>
                <w:rFonts w:eastAsiaTheme="minorEastAsia"/>
                <w:szCs w:val="21"/>
              </w:rPr>
            </w:pPr>
            <w:r>
              <w:rPr>
                <w:rFonts w:eastAsiaTheme="minorEastAsia"/>
                <w:szCs w:val="21"/>
                <w:lang w:bidi="en-US"/>
              </w:rPr>
              <w:t>1、尽量减少临时占地面积；2、施工开始之前需对临时占地和永久占地表土进行剥离，单独存放，并采取苫盖、压实等措施；3、施工期采取洒水措施，减少水土流失；4、施工结束后临时占地全部进行平整并恢复植被；5、对于永久占地范围内，道路以及其他车辆行走的区域要求全部采取混凝土硬化措施，其他区域采取绿化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41" w:type="dxa"/>
            <w:vAlign w:val="center"/>
          </w:tcPr>
          <w:p>
            <w:pPr>
              <w:adjustRightInd w:val="0"/>
              <w:snapToGrid w:val="0"/>
              <w:jc w:val="center"/>
              <w:rPr>
                <w:rFonts w:eastAsiaTheme="minorEastAsia"/>
                <w:szCs w:val="21"/>
                <w:lang w:bidi="en-US"/>
              </w:rPr>
            </w:pPr>
            <w:r>
              <w:rPr>
                <w:rFonts w:eastAsiaTheme="minorEastAsia"/>
                <w:szCs w:val="21"/>
                <w:lang w:bidi="en-US"/>
              </w:rPr>
              <w:t>环境风险</w:t>
            </w:r>
          </w:p>
          <w:p>
            <w:pPr>
              <w:adjustRightInd w:val="0"/>
              <w:snapToGrid w:val="0"/>
              <w:jc w:val="center"/>
              <w:rPr>
                <w:rFonts w:eastAsiaTheme="minorEastAsia"/>
                <w:spacing w:val="-8"/>
                <w:szCs w:val="21"/>
              </w:rPr>
            </w:pPr>
            <w:r>
              <w:rPr>
                <w:rFonts w:eastAsiaTheme="minorEastAsia"/>
                <w:szCs w:val="21"/>
                <w:lang w:bidi="en-US"/>
              </w:rPr>
              <w:t>防范措施</w:t>
            </w:r>
          </w:p>
        </w:tc>
        <w:tc>
          <w:tcPr>
            <w:tcW w:w="7659" w:type="dxa"/>
            <w:gridSpan w:val="4"/>
            <w:vAlign w:val="center"/>
          </w:tcPr>
          <w:p>
            <w:pPr>
              <w:adjustRightInd w:val="0"/>
              <w:snapToGrid w:val="0"/>
              <w:jc w:val="left"/>
              <w:rPr>
                <w:rFonts w:eastAsiaTheme="minorEastAsia"/>
              </w:rPr>
            </w:pPr>
            <w:r>
              <w:rPr>
                <w:rFonts w:eastAsiaTheme="minorEastAsia"/>
              </w:rPr>
              <w:t>（1）加强岗位培训，落实安全生产责任制。</w:t>
            </w:r>
          </w:p>
          <w:p>
            <w:pPr>
              <w:adjustRightInd w:val="0"/>
              <w:snapToGrid w:val="0"/>
              <w:jc w:val="left"/>
              <w:rPr>
                <w:rFonts w:eastAsiaTheme="minorEastAsia"/>
              </w:rPr>
            </w:pPr>
            <w:r>
              <w:rPr>
                <w:rFonts w:eastAsiaTheme="minorEastAsia"/>
              </w:rPr>
              <w:t>（2）加强设备维护保养。</w:t>
            </w:r>
          </w:p>
          <w:p>
            <w:pPr>
              <w:adjustRightInd w:val="0"/>
              <w:snapToGrid w:val="0"/>
              <w:jc w:val="left"/>
              <w:rPr>
                <w:rFonts w:eastAsiaTheme="minorEastAsia"/>
              </w:rPr>
            </w:pPr>
            <w:r>
              <w:rPr>
                <w:rFonts w:eastAsiaTheme="minorEastAsia"/>
              </w:rPr>
              <w:t>（3）落实工程安全技术措施。</w:t>
            </w:r>
          </w:p>
          <w:p>
            <w:pPr>
              <w:adjustRightInd w:val="0"/>
              <w:snapToGrid w:val="0"/>
              <w:jc w:val="left"/>
              <w:rPr>
                <w:rFonts w:eastAsiaTheme="minorEastAsia"/>
              </w:rPr>
            </w:pPr>
            <w:r>
              <w:rPr>
                <w:rFonts w:eastAsiaTheme="minorEastAsia"/>
              </w:rPr>
              <w:t>（4）防火、防爆措施；</w:t>
            </w:r>
          </w:p>
          <w:p>
            <w:pPr>
              <w:adjustRightInd w:val="0"/>
              <w:snapToGrid w:val="0"/>
              <w:jc w:val="left"/>
              <w:rPr>
                <w:rFonts w:eastAsiaTheme="minorEastAsia"/>
              </w:rPr>
            </w:pPr>
            <w:r>
              <w:rPr>
                <w:rFonts w:eastAsiaTheme="minorEastAsia"/>
              </w:rPr>
              <w:t>（5）</w:t>
            </w:r>
            <w:r>
              <w:rPr>
                <w:rFonts w:hint="eastAsia" w:eastAsiaTheme="minorEastAsia"/>
              </w:rPr>
              <w:t>废气</w:t>
            </w:r>
            <w:r>
              <w:rPr>
                <w:rFonts w:eastAsiaTheme="minorEastAsia"/>
              </w:rPr>
              <w:t>输送管道风险防范措施；</w:t>
            </w:r>
          </w:p>
          <w:p>
            <w:pPr>
              <w:adjustRightInd w:val="0"/>
              <w:snapToGrid w:val="0"/>
              <w:jc w:val="left"/>
              <w:rPr>
                <w:rFonts w:eastAsiaTheme="minorEastAsia"/>
                <w:kern w:val="0"/>
              </w:rPr>
            </w:pPr>
            <w:r>
              <w:rPr>
                <w:rFonts w:eastAsiaTheme="minorEastAsia"/>
              </w:rPr>
              <w:t>（6）</w:t>
            </w:r>
            <w:r>
              <w:rPr>
                <w:rFonts w:eastAsiaTheme="minorEastAsia"/>
                <w:kern w:val="0"/>
              </w:rPr>
              <w:t>贮存和操作过程中的事故防范；</w:t>
            </w:r>
          </w:p>
          <w:p>
            <w:pPr>
              <w:adjustRightInd w:val="0"/>
              <w:snapToGrid w:val="0"/>
              <w:jc w:val="left"/>
              <w:rPr>
                <w:rFonts w:eastAsiaTheme="minorEastAsia"/>
                <w:szCs w:val="21"/>
              </w:rPr>
            </w:pPr>
            <w:r>
              <w:rPr>
                <w:rFonts w:eastAsiaTheme="minorEastAsia"/>
                <w:kern w:val="0"/>
              </w:rPr>
              <w:t>（7）组织编制突发环境事件应急预案，并报当地生态环境主管部门备案。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06" w:hRule="atLeast"/>
          <w:jc w:val="center"/>
        </w:trPr>
        <w:tc>
          <w:tcPr>
            <w:tcW w:w="1141" w:type="dxa"/>
            <w:vAlign w:val="center"/>
          </w:tcPr>
          <w:p>
            <w:pPr>
              <w:adjustRightInd w:val="0"/>
              <w:snapToGrid w:val="0"/>
              <w:jc w:val="center"/>
              <w:rPr>
                <w:rFonts w:eastAsiaTheme="minorEastAsia"/>
                <w:szCs w:val="21"/>
                <w:lang w:bidi="en-US"/>
              </w:rPr>
            </w:pPr>
            <w:r>
              <w:rPr>
                <w:rFonts w:eastAsiaTheme="minorEastAsia"/>
                <w:szCs w:val="21"/>
                <w:lang w:bidi="en-US"/>
              </w:rPr>
              <w:t>其他环境</w:t>
            </w:r>
          </w:p>
          <w:p>
            <w:pPr>
              <w:adjustRightInd w:val="0"/>
              <w:snapToGrid w:val="0"/>
              <w:jc w:val="center"/>
              <w:rPr>
                <w:rFonts w:eastAsiaTheme="minorEastAsia"/>
                <w:spacing w:val="-8"/>
                <w:szCs w:val="21"/>
              </w:rPr>
            </w:pPr>
            <w:r>
              <w:rPr>
                <w:rFonts w:eastAsiaTheme="minorEastAsia"/>
                <w:szCs w:val="21"/>
                <w:lang w:bidi="en-US"/>
              </w:rPr>
              <w:t>管理要求</w:t>
            </w:r>
          </w:p>
        </w:tc>
        <w:tc>
          <w:tcPr>
            <w:tcW w:w="7659" w:type="dxa"/>
            <w:gridSpan w:val="4"/>
            <w:vAlign w:val="center"/>
          </w:tcPr>
          <w:p>
            <w:pPr>
              <w:adjustRightInd w:val="0"/>
              <w:snapToGrid w:val="0"/>
              <w:jc w:val="center"/>
              <w:rPr>
                <w:rFonts w:eastAsiaTheme="minorEastAsia"/>
                <w:szCs w:val="21"/>
              </w:rPr>
            </w:pPr>
            <w:r>
              <w:rPr>
                <w:rFonts w:eastAsiaTheme="minorEastAsia"/>
                <w:szCs w:val="21"/>
              </w:rPr>
              <w:t>/</w:t>
            </w:r>
          </w:p>
        </w:tc>
      </w:tr>
    </w:tbl>
    <w:p>
      <w:pPr>
        <w:pStyle w:val="14"/>
        <w:keepNext w:val="0"/>
        <w:keepLines w:val="0"/>
        <w:pageBreakBefore w:val="0"/>
        <w:widowControl/>
        <w:kinsoku/>
        <w:wordWrap/>
        <w:overflowPunct/>
        <w:topLinePunct w:val="0"/>
        <w:autoSpaceDE/>
        <w:autoSpaceDN/>
        <w:bidi w:val="0"/>
        <w:adjustRightInd/>
        <w:snapToGrid/>
        <w:ind w:firstLine="0"/>
        <w:jc w:val="center"/>
        <w:textAlignment w:val="auto"/>
        <w:outlineLvl w:val="0"/>
        <w:rPr>
          <w:rFonts w:ascii="Times New Roman" w:hAnsi="Times New Roman" w:eastAsiaTheme="minorEastAsia"/>
          <w:snapToGrid w:val="0"/>
          <w:sz w:val="30"/>
          <w:szCs w:val="30"/>
        </w:rPr>
      </w:pPr>
      <w:r>
        <w:rPr>
          <w:rFonts w:ascii="Times New Roman" w:hAnsi="Times New Roman" w:eastAsiaTheme="minorEastAsia"/>
          <w:snapToGrid w:val="0"/>
        </w:rPr>
        <w:br w:type="page"/>
      </w:r>
      <w:r>
        <w:rPr>
          <w:rFonts w:ascii="Times New Roman" w:hAnsi="Times New Roman" w:eastAsiaTheme="minorEastAsia"/>
          <w:snapToGrid w:val="0"/>
          <w:sz w:val="30"/>
          <w:szCs w:val="30"/>
        </w:rPr>
        <w:t>六、结论</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spacing w:line="360" w:lineRule="auto"/>
              <w:ind w:firstLine="480"/>
              <w:rPr>
                <w:rFonts w:eastAsiaTheme="minorEastAsia"/>
                <w:sz w:val="24"/>
              </w:rPr>
            </w:pPr>
            <w:r>
              <w:rPr>
                <w:rFonts w:eastAsiaTheme="minorEastAsia"/>
                <w:sz w:val="24"/>
              </w:rPr>
              <w:t>综上所述，项目建设符合国家和地方的相关政策，符合“三线一单”生态环境分区管控的意见，在各项污染防治措施落实后，污染物均能达标排放。因此，本项目符合环境保护要求，从环境保护角度分析，项目实施可行。</w:t>
            </w:r>
          </w:p>
        </w:tc>
      </w:tr>
    </w:tbl>
    <w:p>
      <w:pPr>
        <w:ind w:firstLine="420"/>
        <w:rPr>
          <w:rFonts w:eastAsiaTheme="minorEastAsia"/>
        </w:rPr>
        <w:sectPr>
          <w:pgSz w:w="11906" w:h="16838"/>
          <w:pgMar w:top="1701" w:right="1531" w:bottom="1701" w:left="1531" w:header="851" w:footer="851" w:gutter="0"/>
          <w:cols w:space="720" w:num="1"/>
          <w:docGrid w:linePitch="312" w:charSpace="0"/>
        </w:sectPr>
      </w:pPr>
    </w:p>
    <w:p>
      <w:pPr>
        <w:pStyle w:val="14"/>
        <w:adjustRightInd w:val="0"/>
        <w:snapToGrid w:val="0"/>
        <w:spacing w:before="0" w:beforeAutospacing="0" w:after="0" w:afterAutospacing="0" w:line="648" w:lineRule="auto"/>
        <w:ind w:firstLine="640"/>
        <w:outlineLvl w:val="0"/>
        <w:rPr>
          <w:rFonts w:ascii="Times New Roman" w:hAnsi="Times New Roman" w:eastAsiaTheme="minorEastAsia"/>
          <w:snapToGrid w:val="0"/>
          <w:sz w:val="32"/>
          <w:szCs w:val="32"/>
        </w:rPr>
      </w:pPr>
      <w:r>
        <w:rPr>
          <w:rFonts w:ascii="Times New Roman" w:hAnsi="Times New Roman" w:eastAsiaTheme="minorEastAsia"/>
          <w:snapToGrid w:val="0"/>
          <w:sz w:val="32"/>
          <w:szCs w:val="32"/>
        </w:rPr>
        <w:t>附表</w:t>
      </w:r>
    </w:p>
    <w:p>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0"/>
        <w:jc w:val="center"/>
        <w:textAlignment w:val="auto"/>
        <w:outlineLvl w:val="0"/>
        <w:rPr>
          <w:rFonts w:ascii="Times New Roman" w:hAnsi="Times New Roman" w:eastAsiaTheme="minorEastAsia"/>
          <w:snapToGrid w:val="0"/>
          <w:sz w:val="38"/>
          <w:szCs w:val="38"/>
        </w:rPr>
      </w:pPr>
      <w:r>
        <w:rPr>
          <w:rFonts w:ascii="Times New Roman" w:hAnsi="Times New Roman" w:eastAsiaTheme="minorEastAsia"/>
          <w:snapToGrid w:val="0"/>
          <w:sz w:val="38"/>
          <w:szCs w:val="38"/>
        </w:rPr>
        <w:t>建设项目污染物排放量汇总表</w:t>
      </w:r>
    </w:p>
    <w:tbl>
      <w:tblPr>
        <w:tblStyle w:val="18"/>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559"/>
        <w:gridCol w:w="1843"/>
        <w:gridCol w:w="11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pPr>
              <w:pStyle w:val="41"/>
              <w:spacing w:beforeLines="0" w:afterLines="0" w:line="240" w:lineRule="auto"/>
              <w:jc w:val="right"/>
              <w:rPr>
                <w:rFonts w:ascii="Times New Roman" w:eastAsiaTheme="minorEastAsia"/>
                <w:snapToGrid w:val="0"/>
                <w:spacing w:val="-6"/>
                <w:kern w:val="21"/>
                <w:szCs w:val="21"/>
              </w:rPr>
            </w:pPr>
            <w:r>
              <w:rPr>
                <w:rFonts w:ascii="Times New Roman" w:eastAsiaTheme="minorEastAsia"/>
                <w:snapToGrid w:val="0"/>
                <w:spacing w:val="-6"/>
                <w:kern w:val="21"/>
                <w:szCs w:val="21"/>
              </w:rPr>
              <w:t>项目</w:t>
            </w:r>
          </w:p>
          <w:p>
            <w:pPr>
              <w:pStyle w:val="41"/>
              <w:spacing w:beforeLines="0" w:afterLines="0" w:line="240" w:lineRule="auto"/>
              <w:jc w:val="left"/>
              <w:rPr>
                <w:rFonts w:ascii="Times New Roman" w:eastAsiaTheme="minorEastAsia"/>
                <w:snapToGrid w:val="0"/>
                <w:spacing w:val="-6"/>
                <w:kern w:val="21"/>
                <w:szCs w:val="21"/>
              </w:rPr>
            </w:pPr>
            <w:r>
              <w:rPr>
                <w:rFonts w:ascii="Times New Roman" w:eastAsiaTheme="minorEastAsia"/>
                <w:snapToGrid w:val="0"/>
                <w:spacing w:val="-6"/>
                <w:kern w:val="21"/>
                <w:szCs w:val="21"/>
              </w:rPr>
              <w:t>分类</w:t>
            </w:r>
          </w:p>
        </w:tc>
        <w:tc>
          <w:tcPr>
            <w:tcW w:w="1417" w:type="dxa"/>
            <w:tcMar>
              <w:left w:w="28" w:type="dxa"/>
              <w:right w:w="28" w:type="dxa"/>
            </w:tcMar>
            <w:vAlign w:val="center"/>
          </w:tcPr>
          <w:p>
            <w:pPr>
              <w:pStyle w:val="41"/>
              <w:spacing w:beforeLines="0" w:afterLines="0" w:line="240" w:lineRule="auto"/>
              <w:rPr>
                <w:rFonts w:ascii="Times New Roman" w:eastAsiaTheme="minorEastAsia"/>
                <w:snapToGrid w:val="0"/>
                <w:spacing w:val="-6"/>
                <w:kern w:val="21"/>
                <w:szCs w:val="21"/>
              </w:rPr>
            </w:pPr>
            <w:r>
              <w:rPr>
                <w:rFonts w:ascii="Times New Roman" w:eastAsiaTheme="minorEastAsia"/>
                <w:snapToGrid w:val="0"/>
                <w:spacing w:val="-6"/>
                <w:kern w:val="21"/>
                <w:szCs w:val="21"/>
              </w:rPr>
              <w:t>污染物名称</w:t>
            </w:r>
          </w:p>
        </w:tc>
        <w:tc>
          <w:tcPr>
            <w:tcW w:w="1701" w:type="dxa"/>
            <w:tcMar>
              <w:left w:w="28" w:type="dxa"/>
              <w:right w:w="28" w:type="dxa"/>
            </w:tcMar>
            <w:vAlign w:val="center"/>
          </w:tcPr>
          <w:p>
            <w:pPr>
              <w:pStyle w:val="41"/>
              <w:spacing w:beforeLines="0" w:afterLines="0" w:line="240" w:lineRule="auto"/>
              <w:rPr>
                <w:rFonts w:ascii="Times New Roman" w:eastAsiaTheme="minorEastAsia"/>
                <w:snapToGrid w:val="0"/>
                <w:spacing w:val="-6"/>
                <w:kern w:val="21"/>
                <w:szCs w:val="21"/>
              </w:rPr>
            </w:pPr>
            <w:r>
              <w:rPr>
                <w:rFonts w:ascii="Times New Roman" w:eastAsiaTheme="minorEastAsia"/>
                <w:snapToGrid w:val="0"/>
                <w:spacing w:val="-6"/>
                <w:kern w:val="21"/>
                <w:szCs w:val="21"/>
              </w:rPr>
              <w:t>现有工程</w:t>
            </w:r>
          </w:p>
          <w:p>
            <w:pPr>
              <w:pStyle w:val="41"/>
              <w:spacing w:beforeLines="0" w:afterLines="0" w:line="240" w:lineRule="auto"/>
              <w:rPr>
                <w:rFonts w:ascii="Times New Roman" w:eastAsiaTheme="minorEastAsia"/>
                <w:snapToGrid w:val="0"/>
                <w:spacing w:val="-6"/>
                <w:kern w:val="21"/>
                <w:szCs w:val="21"/>
              </w:rPr>
            </w:pPr>
            <w:r>
              <w:rPr>
                <w:rFonts w:ascii="Times New Roman" w:eastAsiaTheme="minorEastAsia"/>
                <w:snapToGrid w:val="0"/>
                <w:spacing w:val="-6"/>
                <w:kern w:val="21"/>
                <w:szCs w:val="21"/>
              </w:rPr>
              <w:t>排放量（固体废物产生量）</w:t>
            </w:r>
            <w:r>
              <w:rPr>
                <w:rFonts w:ascii="Times New Roman" w:eastAsiaTheme="minorEastAsia"/>
                <w:snapToGrid w:val="0"/>
                <w:spacing w:val="-6"/>
                <w:kern w:val="21"/>
                <w:szCs w:val="21"/>
              </w:rPr>
              <w:fldChar w:fldCharType="begin"/>
            </w:r>
            <w:r>
              <w:rPr>
                <w:rFonts w:ascii="Times New Roman" w:eastAsiaTheme="minorEastAsia"/>
                <w:snapToGrid w:val="0"/>
                <w:spacing w:val="-6"/>
                <w:kern w:val="21"/>
                <w:szCs w:val="21"/>
              </w:rPr>
              <w:instrText xml:space="preserve"> = 1 \* GB3 \* MERGEFORMAT </w:instrText>
            </w:r>
            <w:r>
              <w:rPr>
                <w:rFonts w:ascii="Times New Roman" w:eastAsiaTheme="minorEastAsia"/>
                <w:snapToGrid w:val="0"/>
                <w:spacing w:val="-6"/>
                <w:kern w:val="21"/>
                <w:szCs w:val="21"/>
              </w:rPr>
              <w:fldChar w:fldCharType="separate"/>
            </w:r>
            <w:r>
              <w:rPr>
                <w:rFonts w:ascii="Times New Roman"/>
                <w:kern w:val="2"/>
                <w:szCs w:val="21"/>
              </w:rPr>
              <w:t>①</w:t>
            </w:r>
            <w:r>
              <w:rPr>
                <w:rFonts w:ascii="Times New Roman" w:eastAsiaTheme="minorEastAsia"/>
                <w:snapToGrid w:val="0"/>
                <w:spacing w:val="-6"/>
                <w:kern w:val="21"/>
                <w:szCs w:val="21"/>
              </w:rPr>
              <w:fldChar w:fldCharType="end"/>
            </w:r>
          </w:p>
        </w:tc>
        <w:tc>
          <w:tcPr>
            <w:tcW w:w="1276" w:type="dxa"/>
            <w:tcMar>
              <w:left w:w="28" w:type="dxa"/>
              <w:right w:w="28" w:type="dxa"/>
            </w:tcMar>
            <w:vAlign w:val="center"/>
          </w:tcPr>
          <w:p>
            <w:pPr>
              <w:pStyle w:val="41"/>
              <w:spacing w:beforeLines="0" w:afterLines="0" w:line="240" w:lineRule="auto"/>
              <w:rPr>
                <w:rFonts w:ascii="Times New Roman" w:eastAsiaTheme="minorEastAsia"/>
                <w:snapToGrid w:val="0"/>
                <w:spacing w:val="-6"/>
                <w:kern w:val="21"/>
                <w:szCs w:val="21"/>
              </w:rPr>
            </w:pPr>
            <w:r>
              <w:rPr>
                <w:rFonts w:ascii="Times New Roman" w:eastAsiaTheme="minorEastAsia"/>
                <w:snapToGrid w:val="0"/>
                <w:spacing w:val="-6"/>
                <w:kern w:val="21"/>
                <w:szCs w:val="21"/>
              </w:rPr>
              <w:t>现有工程</w:t>
            </w:r>
          </w:p>
          <w:p>
            <w:pPr>
              <w:pStyle w:val="41"/>
              <w:spacing w:beforeLines="0" w:afterLines="0" w:line="240" w:lineRule="auto"/>
              <w:rPr>
                <w:rFonts w:ascii="Times New Roman" w:eastAsiaTheme="minorEastAsia"/>
                <w:snapToGrid w:val="0"/>
                <w:spacing w:val="-6"/>
                <w:kern w:val="21"/>
                <w:szCs w:val="21"/>
              </w:rPr>
            </w:pPr>
            <w:r>
              <w:rPr>
                <w:rFonts w:ascii="Times New Roman" w:eastAsiaTheme="minorEastAsia"/>
                <w:snapToGrid w:val="0"/>
                <w:spacing w:val="-6"/>
                <w:kern w:val="21"/>
                <w:szCs w:val="21"/>
              </w:rPr>
              <w:t>许可排放量</w:t>
            </w:r>
          </w:p>
          <w:p>
            <w:pPr>
              <w:pStyle w:val="41"/>
              <w:spacing w:beforeLines="0" w:afterLines="0"/>
              <w:rPr>
                <w:rFonts w:ascii="Times New Roman" w:eastAsiaTheme="minorEastAsia"/>
                <w:snapToGrid w:val="0"/>
                <w:spacing w:val="-6"/>
                <w:kern w:val="21"/>
                <w:szCs w:val="21"/>
              </w:rPr>
            </w:pPr>
            <w:r>
              <w:rPr>
                <w:rFonts w:ascii="Times New Roman" w:eastAsiaTheme="minorEastAsia"/>
                <w:snapToGrid w:val="0"/>
                <w:spacing w:val="-6"/>
                <w:kern w:val="21"/>
                <w:szCs w:val="21"/>
              </w:rPr>
              <w:fldChar w:fldCharType="begin"/>
            </w:r>
            <w:r>
              <w:rPr>
                <w:rFonts w:ascii="Times New Roman" w:eastAsiaTheme="minorEastAsia"/>
                <w:snapToGrid w:val="0"/>
                <w:spacing w:val="-6"/>
                <w:kern w:val="21"/>
                <w:szCs w:val="21"/>
              </w:rPr>
              <w:instrText xml:space="preserve"> = 2 \* GB3 \* MERGEFORMAT </w:instrText>
            </w:r>
            <w:r>
              <w:rPr>
                <w:rFonts w:ascii="Times New Roman" w:eastAsiaTheme="minorEastAsia"/>
                <w:snapToGrid w:val="0"/>
                <w:spacing w:val="-6"/>
                <w:kern w:val="21"/>
                <w:szCs w:val="21"/>
              </w:rPr>
              <w:fldChar w:fldCharType="separate"/>
            </w:r>
            <w:r>
              <w:rPr>
                <w:rFonts w:ascii="Times New Roman"/>
                <w:snapToGrid w:val="0"/>
                <w:spacing w:val="-6"/>
                <w:kern w:val="21"/>
                <w:szCs w:val="21"/>
              </w:rPr>
              <w:t>②</w:t>
            </w:r>
            <w:r>
              <w:rPr>
                <w:rFonts w:ascii="Times New Roman" w:eastAsiaTheme="minorEastAsia"/>
                <w:snapToGrid w:val="0"/>
                <w:spacing w:val="-6"/>
                <w:kern w:val="21"/>
                <w:szCs w:val="21"/>
              </w:rPr>
              <w:fldChar w:fldCharType="end"/>
            </w:r>
          </w:p>
        </w:tc>
        <w:tc>
          <w:tcPr>
            <w:tcW w:w="1701" w:type="dxa"/>
            <w:tcMar>
              <w:left w:w="28" w:type="dxa"/>
              <w:right w:w="28" w:type="dxa"/>
            </w:tcMar>
            <w:vAlign w:val="center"/>
          </w:tcPr>
          <w:p>
            <w:pPr>
              <w:pStyle w:val="41"/>
              <w:spacing w:beforeLines="0" w:afterLines="0" w:line="240" w:lineRule="auto"/>
              <w:rPr>
                <w:rFonts w:ascii="Times New Roman" w:eastAsiaTheme="minorEastAsia"/>
                <w:snapToGrid w:val="0"/>
                <w:spacing w:val="-6"/>
                <w:kern w:val="21"/>
                <w:szCs w:val="21"/>
              </w:rPr>
            </w:pPr>
            <w:r>
              <w:rPr>
                <w:rFonts w:ascii="Times New Roman" w:eastAsiaTheme="minorEastAsia"/>
                <w:snapToGrid w:val="0"/>
                <w:spacing w:val="-6"/>
                <w:kern w:val="21"/>
                <w:szCs w:val="21"/>
              </w:rPr>
              <w:t>在建工程</w:t>
            </w:r>
          </w:p>
          <w:p>
            <w:pPr>
              <w:pStyle w:val="41"/>
              <w:spacing w:beforeLines="0" w:afterLines="0" w:line="240" w:lineRule="auto"/>
              <w:rPr>
                <w:rFonts w:ascii="Times New Roman" w:eastAsiaTheme="minorEastAsia"/>
                <w:snapToGrid w:val="0"/>
                <w:spacing w:val="-6"/>
                <w:kern w:val="21"/>
                <w:szCs w:val="21"/>
              </w:rPr>
            </w:pPr>
            <w:r>
              <w:rPr>
                <w:rFonts w:ascii="Times New Roman" w:eastAsiaTheme="minorEastAsia"/>
                <w:snapToGrid w:val="0"/>
                <w:spacing w:val="-6"/>
                <w:kern w:val="21"/>
                <w:szCs w:val="21"/>
              </w:rPr>
              <w:t>排放量（固体废物产生量）</w:t>
            </w:r>
            <w:r>
              <w:rPr>
                <w:rFonts w:ascii="Times New Roman" w:eastAsiaTheme="minorEastAsia"/>
                <w:snapToGrid w:val="0"/>
                <w:spacing w:val="-6"/>
                <w:kern w:val="21"/>
                <w:szCs w:val="21"/>
              </w:rPr>
              <w:fldChar w:fldCharType="begin"/>
            </w:r>
            <w:r>
              <w:rPr>
                <w:rFonts w:ascii="Times New Roman" w:eastAsiaTheme="minorEastAsia"/>
                <w:snapToGrid w:val="0"/>
                <w:spacing w:val="-6"/>
                <w:kern w:val="21"/>
                <w:szCs w:val="21"/>
              </w:rPr>
              <w:instrText xml:space="preserve"> = 3 \* GB3 \* MERGEFORMAT </w:instrText>
            </w:r>
            <w:r>
              <w:rPr>
                <w:rFonts w:ascii="Times New Roman" w:eastAsiaTheme="minorEastAsia"/>
                <w:snapToGrid w:val="0"/>
                <w:spacing w:val="-6"/>
                <w:kern w:val="21"/>
                <w:szCs w:val="21"/>
              </w:rPr>
              <w:fldChar w:fldCharType="separate"/>
            </w:r>
            <w:r>
              <w:rPr>
                <w:rFonts w:ascii="Times New Roman"/>
                <w:kern w:val="2"/>
                <w:szCs w:val="21"/>
              </w:rPr>
              <w:t>③</w:t>
            </w:r>
            <w:r>
              <w:rPr>
                <w:rFonts w:ascii="Times New Roman" w:eastAsiaTheme="minorEastAsia"/>
                <w:snapToGrid w:val="0"/>
                <w:spacing w:val="-6"/>
                <w:kern w:val="21"/>
                <w:szCs w:val="21"/>
              </w:rPr>
              <w:fldChar w:fldCharType="end"/>
            </w:r>
          </w:p>
        </w:tc>
        <w:tc>
          <w:tcPr>
            <w:tcW w:w="1559" w:type="dxa"/>
            <w:tcMar>
              <w:left w:w="28" w:type="dxa"/>
              <w:right w:w="28" w:type="dxa"/>
            </w:tcMar>
            <w:vAlign w:val="center"/>
          </w:tcPr>
          <w:p>
            <w:pPr>
              <w:pStyle w:val="41"/>
              <w:spacing w:beforeLines="0" w:afterLines="0" w:line="240" w:lineRule="auto"/>
              <w:rPr>
                <w:rFonts w:ascii="Times New Roman" w:eastAsiaTheme="minorEastAsia"/>
                <w:snapToGrid w:val="0"/>
                <w:spacing w:val="-6"/>
                <w:kern w:val="21"/>
                <w:szCs w:val="21"/>
              </w:rPr>
            </w:pPr>
            <w:r>
              <w:rPr>
                <w:rFonts w:ascii="Times New Roman" w:eastAsiaTheme="minorEastAsia"/>
                <w:snapToGrid w:val="0"/>
                <w:spacing w:val="-6"/>
                <w:kern w:val="21"/>
                <w:szCs w:val="21"/>
              </w:rPr>
              <w:t>本项目</w:t>
            </w:r>
          </w:p>
          <w:p>
            <w:pPr>
              <w:pStyle w:val="41"/>
              <w:spacing w:beforeLines="0" w:afterLines="0" w:line="240" w:lineRule="auto"/>
              <w:rPr>
                <w:rFonts w:ascii="Times New Roman" w:eastAsiaTheme="minorEastAsia"/>
                <w:snapToGrid w:val="0"/>
                <w:spacing w:val="-6"/>
                <w:kern w:val="21"/>
                <w:szCs w:val="21"/>
              </w:rPr>
            </w:pPr>
            <w:r>
              <w:rPr>
                <w:rFonts w:ascii="Times New Roman" w:eastAsiaTheme="minorEastAsia"/>
                <w:snapToGrid w:val="0"/>
                <w:spacing w:val="-6"/>
                <w:kern w:val="21"/>
                <w:szCs w:val="21"/>
              </w:rPr>
              <w:t>排放量（固体废物产生量）</w:t>
            </w:r>
            <w:r>
              <w:rPr>
                <w:rFonts w:ascii="Times New Roman" w:eastAsiaTheme="minorEastAsia"/>
                <w:snapToGrid w:val="0"/>
                <w:spacing w:val="-6"/>
                <w:kern w:val="21"/>
                <w:szCs w:val="21"/>
              </w:rPr>
              <w:fldChar w:fldCharType="begin"/>
            </w:r>
            <w:r>
              <w:rPr>
                <w:rFonts w:ascii="Times New Roman" w:eastAsiaTheme="minorEastAsia"/>
                <w:snapToGrid w:val="0"/>
                <w:spacing w:val="-6"/>
                <w:kern w:val="21"/>
                <w:szCs w:val="21"/>
              </w:rPr>
              <w:instrText xml:space="preserve"> = 4 \* GB3 \* MERGEFORMAT </w:instrText>
            </w:r>
            <w:r>
              <w:rPr>
                <w:rFonts w:ascii="Times New Roman" w:eastAsiaTheme="minorEastAsia"/>
                <w:snapToGrid w:val="0"/>
                <w:spacing w:val="-6"/>
                <w:kern w:val="21"/>
                <w:szCs w:val="21"/>
              </w:rPr>
              <w:fldChar w:fldCharType="separate"/>
            </w:r>
            <w:r>
              <w:rPr>
                <w:rFonts w:ascii="Times New Roman"/>
                <w:kern w:val="2"/>
                <w:szCs w:val="21"/>
              </w:rPr>
              <w:t>④</w:t>
            </w:r>
            <w:r>
              <w:rPr>
                <w:rFonts w:ascii="Times New Roman" w:eastAsiaTheme="minorEastAsia"/>
                <w:snapToGrid w:val="0"/>
                <w:spacing w:val="-6"/>
                <w:kern w:val="21"/>
                <w:szCs w:val="21"/>
              </w:rPr>
              <w:fldChar w:fldCharType="end"/>
            </w:r>
          </w:p>
        </w:tc>
        <w:tc>
          <w:tcPr>
            <w:tcW w:w="1559" w:type="dxa"/>
            <w:tcMar>
              <w:left w:w="28" w:type="dxa"/>
              <w:right w:w="28" w:type="dxa"/>
            </w:tcMar>
            <w:vAlign w:val="center"/>
          </w:tcPr>
          <w:p>
            <w:pPr>
              <w:pStyle w:val="41"/>
              <w:spacing w:beforeLines="0" w:afterLines="0" w:line="240" w:lineRule="auto"/>
              <w:rPr>
                <w:rFonts w:ascii="Times New Roman" w:eastAsiaTheme="minorEastAsia"/>
                <w:snapToGrid w:val="0"/>
                <w:spacing w:val="-16"/>
                <w:kern w:val="21"/>
                <w:szCs w:val="21"/>
              </w:rPr>
            </w:pPr>
            <w:r>
              <w:rPr>
                <w:rFonts w:ascii="Times New Roman" w:eastAsiaTheme="minorEastAsia"/>
                <w:snapToGrid w:val="0"/>
                <w:spacing w:val="-16"/>
                <w:kern w:val="21"/>
                <w:szCs w:val="21"/>
              </w:rPr>
              <w:t>以新带老削减量</w:t>
            </w:r>
          </w:p>
          <w:p>
            <w:pPr>
              <w:pStyle w:val="41"/>
              <w:spacing w:beforeLines="0" w:afterLines="0" w:line="240" w:lineRule="auto"/>
              <w:rPr>
                <w:rFonts w:ascii="Times New Roman" w:eastAsiaTheme="minorEastAsia"/>
                <w:snapToGrid w:val="0"/>
                <w:spacing w:val="-16"/>
                <w:kern w:val="21"/>
                <w:szCs w:val="21"/>
              </w:rPr>
            </w:pPr>
            <w:r>
              <w:rPr>
                <w:rFonts w:ascii="Times New Roman" w:eastAsiaTheme="minorEastAsia"/>
                <w:snapToGrid w:val="0"/>
                <w:spacing w:val="-16"/>
                <w:kern w:val="21"/>
                <w:szCs w:val="21"/>
              </w:rPr>
              <w:t>（新建项目不填）</w:t>
            </w:r>
            <w:r>
              <w:rPr>
                <w:rFonts w:ascii="Times New Roman" w:eastAsiaTheme="minorEastAsia"/>
                <w:snapToGrid w:val="0"/>
                <w:spacing w:val="-16"/>
                <w:kern w:val="21"/>
                <w:szCs w:val="21"/>
              </w:rPr>
              <w:fldChar w:fldCharType="begin"/>
            </w:r>
            <w:r>
              <w:rPr>
                <w:rFonts w:ascii="Times New Roman" w:eastAsiaTheme="minorEastAsia"/>
                <w:snapToGrid w:val="0"/>
                <w:spacing w:val="-16"/>
                <w:kern w:val="21"/>
                <w:szCs w:val="21"/>
              </w:rPr>
              <w:instrText xml:space="preserve"> = 5 \* GB3 \* MERGEFORMAT </w:instrText>
            </w:r>
            <w:r>
              <w:rPr>
                <w:rFonts w:ascii="Times New Roman" w:eastAsiaTheme="minorEastAsia"/>
                <w:snapToGrid w:val="0"/>
                <w:spacing w:val="-16"/>
                <w:kern w:val="21"/>
                <w:szCs w:val="21"/>
              </w:rPr>
              <w:fldChar w:fldCharType="separate"/>
            </w:r>
            <w:r>
              <w:rPr>
                <w:rFonts w:ascii="Times New Roman"/>
                <w:kern w:val="2"/>
                <w:szCs w:val="21"/>
              </w:rPr>
              <w:t>⑤</w:t>
            </w:r>
            <w:r>
              <w:rPr>
                <w:rFonts w:ascii="Times New Roman" w:eastAsiaTheme="minorEastAsia"/>
                <w:snapToGrid w:val="0"/>
                <w:spacing w:val="-16"/>
                <w:kern w:val="21"/>
                <w:szCs w:val="21"/>
              </w:rPr>
              <w:fldChar w:fldCharType="end"/>
            </w:r>
          </w:p>
        </w:tc>
        <w:tc>
          <w:tcPr>
            <w:tcW w:w="1843" w:type="dxa"/>
            <w:tcMar>
              <w:left w:w="28" w:type="dxa"/>
              <w:right w:w="28" w:type="dxa"/>
            </w:tcMar>
            <w:vAlign w:val="center"/>
          </w:tcPr>
          <w:p>
            <w:pPr>
              <w:pStyle w:val="41"/>
              <w:spacing w:beforeLines="0" w:afterLines="0" w:line="240" w:lineRule="auto"/>
              <w:rPr>
                <w:rFonts w:ascii="Times New Roman" w:eastAsiaTheme="minorEastAsia"/>
                <w:snapToGrid w:val="0"/>
                <w:spacing w:val="-16"/>
                <w:kern w:val="21"/>
                <w:szCs w:val="21"/>
              </w:rPr>
            </w:pPr>
            <w:r>
              <w:rPr>
                <w:rFonts w:ascii="Times New Roman" w:eastAsiaTheme="minorEastAsia"/>
                <w:snapToGrid w:val="0"/>
                <w:spacing w:val="-16"/>
                <w:kern w:val="21"/>
                <w:szCs w:val="21"/>
              </w:rPr>
              <w:t>本项目建成后</w:t>
            </w:r>
          </w:p>
          <w:p>
            <w:pPr>
              <w:pStyle w:val="41"/>
              <w:spacing w:beforeLines="0" w:afterLines="0" w:line="240" w:lineRule="auto"/>
              <w:rPr>
                <w:rFonts w:ascii="Times New Roman" w:eastAsiaTheme="minorEastAsia"/>
                <w:snapToGrid w:val="0"/>
                <w:spacing w:val="-16"/>
                <w:kern w:val="21"/>
                <w:szCs w:val="21"/>
              </w:rPr>
            </w:pPr>
            <w:r>
              <w:rPr>
                <w:rFonts w:ascii="Times New Roman" w:eastAsiaTheme="minorEastAsia"/>
                <w:snapToGrid w:val="0"/>
                <w:spacing w:val="-16"/>
                <w:kern w:val="21"/>
                <w:szCs w:val="21"/>
              </w:rPr>
              <w:t>全厂排放量（固体废物产生量）</w:t>
            </w:r>
            <w:r>
              <w:rPr>
                <w:rFonts w:ascii="Times New Roman" w:eastAsiaTheme="minorEastAsia"/>
                <w:snapToGrid w:val="0"/>
                <w:spacing w:val="-16"/>
                <w:kern w:val="21"/>
                <w:szCs w:val="21"/>
              </w:rPr>
              <w:fldChar w:fldCharType="begin"/>
            </w:r>
            <w:r>
              <w:rPr>
                <w:rFonts w:ascii="Times New Roman" w:eastAsiaTheme="minorEastAsia"/>
                <w:snapToGrid w:val="0"/>
                <w:spacing w:val="-16"/>
                <w:kern w:val="21"/>
                <w:szCs w:val="21"/>
              </w:rPr>
              <w:instrText xml:space="preserve"> = 6 \* GB3 \* MERGEFORMAT </w:instrText>
            </w:r>
            <w:r>
              <w:rPr>
                <w:rFonts w:ascii="Times New Roman" w:eastAsiaTheme="minorEastAsia"/>
                <w:snapToGrid w:val="0"/>
                <w:spacing w:val="-16"/>
                <w:kern w:val="21"/>
                <w:szCs w:val="21"/>
              </w:rPr>
              <w:fldChar w:fldCharType="separate"/>
            </w:r>
            <w:r>
              <w:rPr>
                <w:rFonts w:ascii="Times New Roman"/>
                <w:kern w:val="2"/>
                <w:szCs w:val="21"/>
              </w:rPr>
              <w:t>⑥</w:t>
            </w:r>
            <w:r>
              <w:rPr>
                <w:rFonts w:ascii="Times New Roman" w:eastAsiaTheme="minorEastAsia"/>
                <w:snapToGrid w:val="0"/>
                <w:spacing w:val="-16"/>
                <w:kern w:val="21"/>
                <w:szCs w:val="21"/>
              </w:rPr>
              <w:fldChar w:fldCharType="end"/>
            </w:r>
          </w:p>
        </w:tc>
        <w:tc>
          <w:tcPr>
            <w:tcW w:w="1144" w:type="dxa"/>
            <w:tcMar>
              <w:left w:w="28" w:type="dxa"/>
              <w:right w:w="28" w:type="dxa"/>
            </w:tcMar>
            <w:vAlign w:val="center"/>
          </w:tcPr>
          <w:p>
            <w:pPr>
              <w:pStyle w:val="41"/>
              <w:spacing w:beforeLines="0" w:afterLines="0" w:line="240" w:lineRule="auto"/>
              <w:rPr>
                <w:rFonts w:ascii="Times New Roman" w:eastAsiaTheme="minorEastAsia"/>
                <w:snapToGrid w:val="0"/>
                <w:spacing w:val="-6"/>
                <w:kern w:val="21"/>
                <w:szCs w:val="21"/>
              </w:rPr>
            </w:pPr>
            <w:r>
              <w:rPr>
                <w:rFonts w:ascii="Times New Roman" w:eastAsiaTheme="minorEastAsia"/>
                <w:snapToGrid w:val="0"/>
                <w:spacing w:val="-6"/>
                <w:kern w:val="21"/>
                <w:szCs w:val="21"/>
              </w:rPr>
              <w:t>变化量</w:t>
            </w:r>
          </w:p>
          <w:p>
            <w:pPr>
              <w:pStyle w:val="41"/>
              <w:spacing w:beforeLines="0" w:afterLines="0" w:line="240" w:lineRule="auto"/>
              <w:rPr>
                <w:rFonts w:ascii="Times New Roman" w:eastAsiaTheme="minorEastAsia"/>
                <w:snapToGrid w:val="0"/>
                <w:spacing w:val="-6"/>
                <w:kern w:val="21"/>
                <w:szCs w:val="21"/>
              </w:rPr>
            </w:pPr>
            <w:r>
              <w:rPr>
                <w:rFonts w:ascii="Times New Roman" w:eastAsiaTheme="minorEastAsia"/>
                <w:snapToGrid w:val="0"/>
                <w:spacing w:val="-6"/>
                <w:kern w:val="21"/>
                <w:szCs w:val="21"/>
              </w:rPr>
              <w:fldChar w:fldCharType="begin"/>
            </w:r>
            <w:r>
              <w:rPr>
                <w:rFonts w:ascii="Times New Roman" w:eastAsiaTheme="minorEastAsia"/>
                <w:snapToGrid w:val="0"/>
                <w:spacing w:val="-6"/>
                <w:kern w:val="21"/>
                <w:szCs w:val="21"/>
              </w:rPr>
              <w:instrText xml:space="preserve"> = 7 \* GB3 \* MERGEFORMAT </w:instrText>
            </w:r>
            <w:r>
              <w:rPr>
                <w:rFonts w:ascii="Times New Roman" w:eastAsiaTheme="minorEastAsia"/>
                <w:snapToGrid w:val="0"/>
                <w:spacing w:val="-6"/>
                <w:kern w:val="21"/>
                <w:szCs w:val="21"/>
              </w:rPr>
              <w:fldChar w:fldCharType="separate"/>
            </w:r>
            <w:r>
              <w:rPr>
                <w:rFonts w:ascii="Times New Roman"/>
                <w:kern w:val="2"/>
                <w:szCs w:val="21"/>
              </w:rPr>
              <w:t>⑦</w:t>
            </w:r>
            <w:r>
              <w:rPr>
                <w:rFonts w:ascii="Times New Roman" w:eastAsiaTheme="minorEastAsia"/>
                <w:snapToGrid w:val="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588" w:type="dxa"/>
            <w:vMerge w:val="restart"/>
            <w:vAlign w:val="center"/>
          </w:tcPr>
          <w:p>
            <w:pPr>
              <w:pStyle w:val="41"/>
              <w:spacing w:beforeLines="0" w:afterLines="0" w:line="240" w:lineRule="auto"/>
              <w:rPr>
                <w:rFonts w:ascii="Times New Roman" w:eastAsiaTheme="minorEastAsia"/>
                <w:snapToGrid w:val="0"/>
                <w:kern w:val="21"/>
                <w:szCs w:val="21"/>
              </w:rPr>
            </w:pPr>
            <w:r>
              <w:rPr>
                <w:rFonts w:ascii="Times New Roman" w:eastAsiaTheme="minorEastAsia"/>
                <w:snapToGrid w:val="0"/>
                <w:kern w:val="21"/>
                <w:szCs w:val="21"/>
              </w:rPr>
              <w:t>废气</w:t>
            </w:r>
          </w:p>
        </w:tc>
        <w:tc>
          <w:tcPr>
            <w:tcW w:w="1417" w:type="dxa"/>
            <w:vAlign w:val="center"/>
          </w:tcPr>
          <w:p>
            <w:pPr>
              <w:pStyle w:val="41"/>
              <w:spacing w:beforeLines="0" w:afterLines="0" w:line="240" w:lineRule="auto"/>
              <w:rPr>
                <w:rFonts w:ascii="Times New Roman" w:eastAsiaTheme="minorEastAsia"/>
                <w:snapToGrid w:val="0"/>
                <w:kern w:val="21"/>
                <w:szCs w:val="21"/>
              </w:rPr>
            </w:pPr>
            <w:r>
              <w:rPr>
                <w:rFonts w:ascii="Times New Roman" w:eastAsiaTheme="minorEastAsia"/>
                <w:snapToGrid w:val="0"/>
                <w:kern w:val="21"/>
                <w:szCs w:val="21"/>
              </w:rPr>
              <w:t>颗粒物</w:t>
            </w:r>
          </w:p>
        </w:tc>
        <w:tc>
          <w:tcPr>
            <w:tcW w:w="1701" w:type="dxa"/>
            <w:vAlign w:val="center"/>
          </w:tcPr>
          <w:p>
            <w:pPr>
              <w:pStyle w:val="41"/>
              <w:spacing w:beforeLines="0" w:afterLines="0" w:line="240" w:lineRule="auto"/>
              <w:rPr>
                <w:rFonts w:ascii="Times New Roman" w:eastAsiaTheme="minorEastAsia"/>
                <w:snapToGrid w:val="0"/>
                <w:kern w:val="21"/>
                <w:szCs w:val="21"/>
              </w:rPr>
            </w:pPr>
          </w:p>
        </w:tc>
        <w:tc>
          <w:tcPr>
            <w:tcW w:w="1276" w:type="dxa"/>
            <w:vAlign w:val="center"/>
          </w:tcPr>
          <w:p>
            <w:pPr>
              <w:pStyle w:val="41"/>
              <w:spacing w:beforeLines="0" w:afterLines="0" w:line="240" w:lineRule="auto"/>
              <w:rPr>
                <w:rFonts w:ascii="Times New Roman" w:eastAsiaTheme="minorEastAsia"/>
                <w:snapToGrid w:val="0"/>
                <w:kern w:val="21"/>
                <w:szCs w:val="21"/>
              </w:rPr>
            </w:pPr>
          </w:p>
        </w:tc>
        <w:tc>
          <w:tcPr>
            <w:tcW w:w="1701" w:type="dxa"/>
            <w:vAlign w:val="center"/>
          </w:tcPr>
          <w:p>
            <w:pPr>
              <w:pStyle w:val="41"/>
              <w:spacing w:beforeLines="0" w:afterLines="0" w:line="240" w:lineRule="auto"/>
              <w:rPr>
                <w:rFonts w:ascii="Times New Roman" w:eastAsiaTheme="minorEastAsia"/>
                <w:snapToGrid w:val="0"/>
                <w:kern w:val="21"/>
                <w:szCs w:val="21"/>
              </w:rPr>
            </w:pPr>
          </w:p>
        </w:tc>
        <w:tc>
          <w:tcPr>
            <w:tcW w:w="1559" w:type="dxa"/>
            <w:vAlign w:val="center"/>
          </w:tcPr>
          <w:p>
            <w:pPr>
              <w:pStyle w:val="41"/>
              <w:spacing w:beforeLines="0" w:afterLines="0" w:line="240" w:lineRule="auto"/>
              <w:rPr>
                <w:rFonts w:ascii="Times New Roman" w:eastAsiaTheme="minorEastAsia"/>
                <w:snapToGrid w:val="0"/>
                <w:kern w:val="21"/>
                <w:szCs w:val="21"/>
              </w:rPr>
            </w:pPr>
            <w:r>
              <w:rPr>
                <w:rFonts w:hint="eastAsia" w:ascii="Times New Roman" w:eastAsiaTheme="minorEastAsia"/>
                <w:snapToGrid w:val="0"/>
                <w:kern w:val="21"/>
                <w:szCs w:val="21"/>
              </w:rPr>
              <w:t>1.26</w:t>
            </w:r>
          </w:p>
        </w:tc>
        <w:tc>
          <w:tcPr>
            <w:tcW w:w="1559" w:type="dxa"/>
            <w:vAlign w:val="center"/>
          </w:tcPr>
          <w:p>
            <w:pPr>
              <w:pStyle w:val="41"/>
              <w:spacing w:beforeLines="0" w:afterLines="0" w:line="240" w:lineRule="auto"/>
              <w:rPr>
                <w:rFonts w:ascii="Times New Roman" w:eastAsiaTheme="minorEastAsia"/>
                <w:snapToGrid w:val="0"/>
                <w:kern w:val="21"/>
                <w:szCs w:val="21"/>
              </w:rPr>
            </w:pPr>
          </w:p>
        </w:tc>
        <w:tc>
          <w:tcPr>
            <w:tcW w:w="1843" w:type="dxa"/>
            <w:vAlign w:val="center"/>
          </w:tcPr>
          <w:p>
            <w:pPr>
              <w:pStyle w:val="41"/>
              <w:spacing w:beforeLines="0" w:afterLines="0" w:line="240" w:lineRule="auto"/>
              <w:rPr>
                <w:rFonts w:ascii="Times New Roman" w:eastAsiaTheme="minorEastAsia"/>
                <w:snapToGrid w:val="0"/>
                <w:kern w:val="21"/>
                <w:szCs w:val="21"/>
              </w:rPr>
            </w:pPr>
            <w:r>
              <w:rPr>
                <w:rFonts w:hint="eastAsia" w:ascii="Times New Roman" w:eastAsiaTheme="minorEastAsia"/>
                <w:snapToGrid w:val="0"/>
                <w:kern w:val="21"/>
                <w:szCs w:val="21"/>
              </w:rPr>
              <w:t>1.26</w:t>
            </w:r>
          </w:p>
        </w:tc>
        <w:tc>
          <w:tcPr>
            <w:tcW w:w="1144" w:type="dxa"/>
            <w:vAlign w:val="center"/>
          </w:tcPr>
          <w:p>
            <w:pPr>
              <w:pStyle w:val="41"/>
              <w:spacing w:beforeLines="0" w:afterLines="0" w:line="240" w:lineRule="auto"/>
              <w:rPr>
                <w:rFonts w:ascii="Times New Roman" w:eastAsiaTheme="minorEastAsia"/>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588" w:type="dxa"/>
            <w:vMerge w:val="continue"/>
            <w:vAlign w:val="center"/>
          </w:tcPr>
          <w:p>
            <w:pPr>
              <w:pStyle w:val="41"/>
              <w:spacing w:beforeLines="0" w:afterLines="0" w:line="240" w:lineRule="auto"/>
              <w:rPr>
                <w:rFonts w:ascii="Times New Roman" w:eastAsiaTheme="minorEastAsia"/>
                <w:snapToGrid w:val="0"/>
                <w:kern w:val="21"/>
                <w:szCs w:val="21"/>
              </w:rPr>
            </w:pPr>
          </w:p>
        </w:tc>
        <w:tc>
          <w:tcPr>
            <w:tcW w:w="1417" w:type="dxa"/>
            <w:vAlign w:val="center"/>
          </w:tcPr>
          <w:p>
            <w:pPr>
              <w:pStyle w:val="41"/>
              <w:spacing w:before="24" w:after="24"/>
              <w:rPr>
                <w:rFonts w:ascii="Times New Roman" w:eastAsiaTheme="minorEastAsia"/>
                <w:snapToGrid w:val="0"/>
                <w:kern w:val="21"/>
                <w:szCs w:val="21"/>
              </w:rPr>
            </w:pPr>
            <w:r>
              <w:rPr>
                <w:rFonts w:ascii="Times New Roman" w:eastAsiaTheme="minorEastAsia"/>
                <w:snapToGrid w:val="0"/>
                <w:kern w:val="21"/>
                <w:szCs w:val="21"/>
              </w:rPr>
              <w:t>SO</w:t>
            </w:r>
            <w:r>
              <w:rPr>
                <w:rFonts w:ascii="Times New Roman" w:eastAsiaTheme="minorEastAsia"/>
                <w:snapToGrid w:val="0"/>
                <w:kern w:val="21"/>
                <w:szCs w:val="21"/>
                <w:vertAlign w:val="subscript"/>
              </w:rPr>
              <w:t>2</w:t>
            </w:r>
          </w:p>
        </w:tc>
        <w:tc>
          <w:tcPr>
            <w:tcW w:w="1701" w:type="dxa"/>
            <w:vAlign w:val="center"/>
          </w:tcPr>
          <w:p>
            <w:pPr>
              <w:pStyle w:val="41"/>
              <w:spacing w:beforeLines="0" w:afterLines="0" w:line="240" w:lineRule="auto"/>
              <w:rPr>
                <w:rFonts w:ascii="Times New Roman" w:eastAsiaTheme="minorEastAsia"/>
                <w:snapToGrid w:val="0"/>
                <w:kern w:val="21"/>
                <w:szCs w:val="21"/>
              </w:rPr>
            </w:pPr>
          </w:p>
        </w:tc>
        <w:tc>
          <w:tcPr>
            <w:tcW w:w="1276" w:type="dxa"/>
            <w:vAlign w:val="center"/>
          </w:tcPr>
          <w:p>
            <w:pPr>
              <w:pStyle w:val="41"/>
              <w:spacing w:beforeLines="0" w:afterLines="0" w:line="240" w:lineRule="auto"/>
              <w:rPr>
                <w:rFonts w:ascii="Times New Roman" w:eastAsiaTheme="minorEastAsia"/>
                <w:snapToGrid w:val="0"/>
                <w:kern w:val="21"/>
                <w:szCs w:val="21"/>
              </w:rPr>
            </w:pPr>
          </w:p>
        </w:tc>
        <w:tc>
          <w:tcPr>
            <w:tcW w:w="1701" w:type="dxa"/>
            <w:vAlign w:val="center"/>
          </w:tcPr>
          <w:p>
            <w:pPr>
              <w:pStyle w:val="41"/>
              <w:spacing w:beforeLines="0" w:afterLines="0" w:line="240" w:lineRule="auto"/>
              <w:rPr>
                <w:rFonts w:ascii="Times New Roman" w:eastAsiaTheme="minorEastAsia"/>
                <w:snapToGrid w:val="0"/>
                <w:kern w:val="21"/>
                <w:szCs w:val="21"/>
              </w:rPr>
            </w:pPr>
          </w:p>
        </w:tc>
        <w:tc>
          <w:tcPr>
            <w:tcW w:w="1559" w:type="dxa"/>
            <w:vAlign w:val="center"/>
          </w:tcPr>
          <w:p>
            <w:pPr>
              <w:pStyle w:val="41"/>
              <w:spacing w:beforeLines="0" w:afterLines="0" w:line="240" w:lineRule="auto"/>
              <w:rPr>
                <w:rFonts w:ascii="Times New Roman" w:eastAsiaTheme="minorEastAsia"/>
                <w:snapToGrid w:val="0"/>
                <w:kern w:val="21"/>
                <w:szCs w:val="21"/>
              </w:rPr>
            </w:pPr>
            <w:r>
              <w:rPr>
                <w:rFonts w:hint="eastAsia" w:ascii="Times New Roman" w:eastAsiaTheme="minorEastAsia"/>
                <w:snapToGrid w:val="0"/>
                <w:kern w:val="21"/>
                <w:szCs w:val="21"/>
              </w:rPr>
              <w:t>0.068</w:t>
            </w:r>
          </w:p>
        </w:tc>
        <w:tc>
          <w:tcPr>
            <w:tcW w:w="1559" w:type="dxa"/>
            <w:vAlign w:val="center"/>
          </w:tcPr>
          <w:p>
            <w:pPr>
              <w:pStyle w:val="41"/>
              <w:spacing w:beforeLines="0" w:afterLines="0" w:line="240" w:lineRule="auto"/>
              <w:rPr>
                <w:rFonts w:ascii="Times New Roman" w:eastAsiaTheme="minorEastAsia"/>
                <w:snapToGrid w:val="0"/>
                <w:kern w:val="21"/>
                <w:szCs w:val="21"/>
              </w:rPr>
            </w:pPr>
          </w:p>
        </w:tc>
        <w:tc>
          <w:tcPr>
            <w:tcW w:w="1843" w:type="dxa"/>
            <w:vAlign w:val="center"/>
          </w:tcPr>
          <w:p>
            <w:pPr>
              <w:pStyle w:val="41"/>
              <w:spacing w:beforeLines="0" w:afterLines="0" w:line="240" w:lineRule="auto"/>
              <w:rPr>
                <w:rFonts w:ascii="Times New Roman" w:eastAsiaTheme="minorEastAsia"/>
                <w:snapToGrid w:val="0"/>
                <w:kern w:val="21"/>
                <w:szCs w:val="21"/>
              </w:rPr>
            </w:pPr>
            <w:r>
              <w:rPr>
                <w:rFonts w:hint="eastAsia" w:ascii="Times New Roman" w:eastAsiaTheme="minorEastAsia"/>
                <w:snapToGrid w:val="0"/>
                <w:kern w:val="21"/>
                <w:szCs w:val="21"/>
              </w:rPr>
              <w:t>0.068</w:t>
            </w:r>
          </w:p>
        </w:tc>
        <w:tc>
          <w:tcPr>
            <w:tcW w:w="1144" w:type="dxa"/>
            <w:vAlign w:val="center"/>
          </w:tcPr>
          <w:p>
            <w:pPr>
              <w:pStyle w:val="41"/>
              <w:spacing w:beforeLines="0" w:afterLines="0" w:line="240" w:lineRule="auto"/>
              <w:rPr>
                <w:rFonts w:ascii="Times New Roman" w:eastAsiaTheme="minorEastAsia"/>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588" w:type="dxa"/>
            <w:vMerge w:val="continue"/>
            <w:vAlign w:val="center"/>
          </w:tcPr>
          <w:p>
            <w:pPr>
              <w:pStyle w:val="41"/>
              <w:spacing w:beforeLines="0" w:afterLines="0" w:line="240" w:lineRule="auto"/>
              <w:rPr>
                <w:rFonts w:ascii="Times New Roman" w:eastAsiaTheme="minorEastAsia"/>
                <w:snapToGrid w:val="0"/>
                <w:kern w:val="21"/>
                <w:szCs w:val="21"/>
              </w:rPr>
            </w:pPr>
          </w:p>
        </w:tc>
        <w:tc>
          <w:tcPr>
            <w:tcW w:w="1417" w:type="dxa"/>
            <w:vAlign w:val="center"/>
          </w:tcPr>
          <w:p>
            <w:pPr>
              <w:pStyle w:val="41"/>
              <w:spacing w:before="24" w:after="24"/>
              <w:rPr>
                <w:rFonts w:ascii="Times New Roman" w:eastAsiaTheme="minorEastAsia"/>
                <w:snapToGrid w:val="0"/>
                <w:kern w:val="21"/>
                <w:szCs w:val="21"/>
              </w:rPr>
            </w:pPr>
            <w:r>
              <w:rPr>
                <w:rFonts w:ascii="Times New Roman" w:eastAsiaTheme="minorEastAsia"/>
                <w:snapToGrid w:val="0"/>
                <w:kern w:val="21"/>
                <w:szCs w:val="21"/>
              </w:rPr>
              <w:t>NO</w:t>
            </w:r>
            <w:r>
              <w:rPr>
                <w:rFonts w:ascii="Times New Roman" w:eastAsiaTheme="minorEastAsia"/>
                <w:snapToGrid w:val="0"/>
                <w:kern w:val="21"/>
                <w:szCs w:val="21"/>
                <w:vertAlign w:val="subscript"/>
              </w:rPr>
              <w:t>X</w:t>
            </w:r>
          </w:p>
        </w:tc>
        <w:tc>
          <w:tcPr>
            <w:tcW w:w="1701" w:type="dxa"/>
            <w:vAlign w:val="center"/>
          </w:tcPr>
          <w:p>
            <w:pPr>
              <w:pStyle w:val="41"/>
              <w:spacing w:beforeLines="0" w:afterLines="0" w:line="240" w:lineRule="auto"/>
              <w:rPr>
                <w:rFonts w:ascii="Times New Roman" w:eastAsiaTheme="minorEastAsia"/>
                <w:snapToGrid w:val="0"/>
                <w:kern w:val="21"/>
                <w:szCs w:val="21"/>
              </w:rPr>
            </w:pPr>
          </w:p>
        </w:tc>
        <w:tc>
          <w:tcPr>
            <w:tcW w:w="1276" w:type="dxa"/>
            <w:vAlign w:val="center"/>
          </w:tcPr>
          <w:p>
            <w:pPr>
              <w:pStyle w:val="41"/>
              <w:spacing w:beforeLines="0" w:afterLines="0" w:line="240" w:lineRule="auto"/>
              <w:rPr>
                <w:rFonts w:ascii="Times New Roman" w:eastAsiaTheme="minorEastAsia"/>
                <w:snapToGrid w:val="0"/>
                <w:kern w:val="21"/>
                <w:szCs w:val="21"/>
              </w:rPr>
            </w:pPr>
          </w:p>
        </w:tc>
        <w:tc>
          <w:tcPr>
            <w:tcW w:w="1701" w:type="dxa"/>
            <w:vAlign w:val="center"/>
          </w:tcPr>
          <w:p>
            <w:pPr>
              <w:pStyle w:val="41"/>
              <w:spacing w:beforeLines="0" w:afterLines="0" w:line="240" w:lineRule="auto"/>
              <w:rPr>
                <w:rFonts w:ascii="Times New Roman" w:eastAsiaTheme="minorEastAsia"/>
                <w:snapToGrid w:val="0"/>
                <w:kern w:val="21"/>
                <w:szCs w:val="21"/>
              </w:rPr>
            </w:pPr>
          </w:p>
        </w:tc>
        <w:tc>
          <w:tcPr>
            <w:tcW w:w="1559" w:type="dxa"/>
            <w:vAlign w:val="center"/>
          </w:tcPr>
          <w:p>
            <w:pPr>
              <w:pStyle w:val="41"/>
              <w:spacing w:beforeLines="0" w:afterLines="0" w:line="240" w:lineRule="auto"/>
              <w:rPr>
                <w:rFonts w:ascii="Times New Roman" w:eastAsiaTheme="minorEastAsia"/>
                <w:snapToGrid w:val="0"/>
                <w:kern w:val="21"/>
                <w:szCs w:val="21"/>
              </w:rPr>
            </w:pPr>
            <w:r>
              <w:rPr>
                <w:rFonts w:hint="eastAsia" w:ascii="Times New Roman" w:eastAsiaTheme="minorEastAsia"/>
                <w:snapToGrid w:val="0"/>
                <w:kern w:val="21"/>
                <w:szCs w:val="21"/>
              </w:rPr>
              <w:t>1.387</w:t>
            </w:r>
          </w:p>
        </w:tc>
        <w:tc>
          <w:tcPr>
            <w:tcW w:w="1559" w:type="dxa"/>
            <w:vAlign w:val="center"/>
          </w:tcPr>
          <w:p>
            <w:pPr>
              <w:pStyle w:val="41"/>
              <w:spacing w:beforeLines="0" w:afterLines="0" w:line="240" w:lineRule="auto"/>
              <w:rPr>
                <w:rFonts w:ascii="Times New Roman" w:eastAsiaTheme="minorEastAsia"/>
                <w:snapToGrid w:val="0"/>
                <w:kern w:val="21"/>
                <w:szCs w:val="21"/>
              </w:rPr>
            </w:pPr>
          </w:p>
        </w:tc>
        <w:tc>
          <w:tcPr>
            <w:tcW w:w="1843" w:type="dxa"/>
            <w:vAlign w:val="center"/>
          </w:tcPr>
          <w:p>
            <w:pPr>
              <w:pStyle w:val="41"/>
              <w:spacing w:beforeLines="0" w:afterLines="0" w:line="240" w:lineRule="auto"/>
              <w:rPr>
                <w:rFonts w:ascii="Times New Roman" w:eastAsiaTheme="minorEastAsia"/>
                <w:snapToGrid w:val="0"/>
                <w:kern w:val="21"/>
                <w:szCs w:val="21"/>
              </w:rPr>
            </w:pPr>
            <w:r>
              <w:rPr>
                <w:rFonts w:hint="eastAsia" w:ascii="Times New Roman" w:eastAsiaTheme="minorEastAsia"/>
                <w:snapToGrid w:val="0"/>
                <w:kern w:val="21"/>
                <w:szCs w:val="21"/>
              </w:rPr>
              <w:t>1.258</w:t>
            </w:r>
          </w:p>
        </w:tc>
        <w:tc>
          <w:tcPr>
            <w:tcW w:w="1144" w:type="dxa"/>
            <w:vAlign w:val="center"/>
          </w:tcPr>
          <w:p>
            <w:pPr>
              <w:pStyle w:val="41"/>
              <w:spacing w:beforeLines="0" w:afterLines="0" w:line="240" w:lineRule="auto"/>
              <w:rPr>
                <w:rFonts w:ascii="Times New Roman" w:eastAsiaTheme="minorEastAsia"/>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88" w:type="dxa"/>
            <w:vMerge w:val="restart"/>
            <w:vAlign w:val="center"/>
          </w:tcPr>
          <w:p>
            <w:pPr>
              <w:pStyle w:val="41"/>
              <w:spacing w:beforeLines="0" w:afterLines="0" w:line="240" w:lineRule="auto"/>
              <w:rPr>
                <w:rFonts w:ascii="Times New Roman" w:eastAsiaTheme="minorEastAsia"/>
                <w:snapToGrid w:val="0"/>
                <w:kern w:val="21"/>
                <w:szCs w:val="21"/>
              </w:rPr>
            </w:pPr>
            <w:r>
              <w:rPr>
                <w:rFonts w:ascii="Times New Roman" w:eastAsiaTheme="minorEastAsia"/>
                <w:snapToGrid w:val="0"/>
                <w:kern w:val="21"/>
                <w:szCs w:val="21"/>
              </w:rPr>
              <w:t>废水</w:t>
            </w:r>
          </w:p>
        </w:tc>
        <w:tc>
          <w:tcPr>
            <w:tcW w:w="1417" w:type="dxa"/>
            <w:vAlign w:val="center"/>
          </w:tcPr>
          <w:p>
            <w:pPr>
              <w:pStyle w:val="41"/>
              <w:spacing w:beforeLines="0" w:afterLines="0" w:line="240" w:lineRule="auto"/>
              <w:rPr>
                <w:rFonts w:ascii="Times New Roman" w:eastAsiaTheme="minorEastAsia"/>
                <w:snapToGrid w:val="0"/>
                <w:kern w:val="21"/>
                <w:szCs w:val="21"/>
              </w:rPr>
            </w:pPr>
            <w:r>
              <w:rPr>
                <w:rFonts w:ascii="Times New Roman" w:eastAsiaTheme="minorEastAsia"/>
                <w:snapToGrid w:val="0"/>
                <w:kern w:val="21"/>
                <w:szCs w:val="21"/>
              </w:rPr>
              <w:t>COD</w:t>
            </w:r>
          </w:p>
        </w:tc>
        <w:tc>
          <w:tcPr>
            <w:tcW w:w="1701" w:type="dxa"/>
            <w:vAlign w:val="center"/>
          </w:tcPr>
          <w:p>
            <w:pPr>
              <w:pStyle w:val="41"/>
              <w:spacing w:beforeLines="0" w:afterLines="0" w:line="240" w:lineRule="auto"/>
              <w:rPr>
                <w:rFonts w:ascii="Times New Roman" w:eastAsiaTheme="minorEastAsia"/>
                <w:snapToGrid w:val="0"/>
                <w:kern w:val="21"/>
                <w:szCs w:val="21"/>
              </w:rPr>
            </w:pPr>
          </w:p>
        </w:tc>
        <w:tc>
          <w:tcPr>
            <w:tcW w:w="1276" w:type="dxa"/>
            <w:vAlign w:val="center"/>
          </w:tcPr>
          <w:p>
            <w:pPr>
              <w:pStyle w:val="41"/>
              <w:spacing w:beforeLines="0" w:afterLines="0" w:line="240" w:lineRule="auto"/>
              <w:rPr>
                <w:rFonts w:ascii="Times New Roman" w:eastAsiaTheme="minorEastAsia"/>
                <w:snapToGrid w:val="0"/>
                <w:kern w:val="21"/>
                <w:szCs w:val="21"/>
              </w:rPr>
            </w:pPr>
          </w:p>
        </w:tc>
        <w:tc>
          <w:tcPr>
            <w:tcW w:w="1701" w:type="dxa"/>
            <w:vAlign w:val="center"/>
          </w:tcPr>
          <w:p>
            <w:pPr>
              <w:pStyle w:val="41"/>
              <w:spacing w:beforeLines="0" w:afterLines="0" w:line="240" w:lineRule="auto"/>
              <w:rPr>
                <w:rFonts w:ascii="Times New Roman" w:eastAsiaTheme="minorEastAsia"/>
                <w:snapToGrid w:val="0"/>
                <w:kern w:val="21"/>
                <w:szCs w:val="21"/>
              </w:rPr>
            </w:pPr>
          </w:p>
        </w:tc>
        <w:tc>
          <w:tcPr>
            <w:tcW w:w="1559" w:type="dxa"/>
            <w:vAlign w:val="center"/>
          </w:tcPr>
          <w:p>
            <w:pPr>
              <w:pStyle w:val="41"/>
              <w:spacing w:beforeLines="0" w:afterLines="0" w:line="240" w:lineRule="auto"/>
              <w:rPr>
                <w:rFonts w:ascii="Times New Roman" w:eastAsiaTheme="minorEastAsia"/>
                <w:snapToGrid w:val="0"/>
                <w:kern w:val="21"/>
                <w:szCs w:val="21"/>
              </w:rPr>
            </w:pPr>
            <w:r>
              <w:rPr>
                <w:rFonts w:hint="eastAsia" w:ascii="Times New Roman" w:eastAsiaTheme="minorEastAsia"/>
                <w:snapToGrid w:val="0"/>
                <w:kern w:val="21"/>
                <w:szCs w:val="21"/>
              </w:rPr>
              <w:t>0.163</w:t>
            </w:r>
          </w:p>
        </w:tc>
        <w:tc>
          <w:tcPr>
            <w:tcW w:w="1559" w:type="dxa"/>
            <w:vAlign w:val="center"/>
          </w:tcPr>
          <w:p>
            <w:pPr>
              <w:pStyle w:val="41"/>
              <w:spacing w:beforeLines="0" w:afterLines="0" w:line="240" w:lineRule="auto"/>
              <w:rPr>
                <w:rFonts w:ascii="Times New Roman" w:eastAsiaTheme="minorEastAsia"/>
                <w:snapToGrid w:val="0"/>
                <w:kern w:val="21"/>
                <w:szCs w:val="21"/>
              </w:rPr>
            </w:pPr>
          </w:p>
        </w:tc>
        <w:tc>
          <w:tcPr>
            <w:tcW w:w="1843" w:type="dxa"/>
            <w:vAlign w:val="center"/>
          </w:tcPr>
          <w:p>
            <w:pPr>
              <w:pStyle w:val="41"/>
              <w:spacing w:beforeLines="0" w:afterLines="0" w:line="240" w:lineRule="auto"/>
              <w:rPr>
                <w:rFonts w:ascii="Times New Roman" w:eastAsiaTheme="minorEastAsia"/>
                <w:snapToGrid w:val="0"/>
                <w:kern w:val="21"/>
                <w:szCs w:val="21"/>
              </w:rPr>
            </w:pPr>
            <w:r>
              <w:rPr>
                <w:rFonts w:hint="eastAsia" w:ascii="Times New Roman" w:eastAsiaTheme="minorEastAsia"/>
                <w:snapToGrid w:val="0"/>
                <w:kern w:val="21"/>
                <w:szCs w:val="21"/>
              </w:rPr>
              <w:t>0.163</w:t>
            </w:r>
          </w:p>
        </w:tc>
        <w:tc>
          <w:tcPr>
            <w:tcW w:w="1144" w:type="dxa"/>
            <w:vAlign w:val="center"/>
          </w:tcPr>
          <w:p>
            <w:pPr>
              <w:pStyle w:val="41"/>
              <w:spacing w:beforeLines="0" w:afterLines="0" w:line="240" w:lineRule="auto"/>
              <w:rPr>
                <w:rFonts w:ascii="Times New Roman" w:eastAsiaTheme="minorEastAsia"/>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588" w:type="dxa"/>
            <w:vMerge w:val="continue"/>
            <w:vAlign w:val="center"/>
          </w:tcPr>
          <w:p>
            <w:pPr>
              <w:pStyle w:val="41"/>
              <w:spacing w:beforeLines="0" w:afterLines="0" w:line="240" w:lineRule="auto"/>
              <w:rPr>
                <w:rFonts w:ascii="Times New Roman" w:eastAsiaTheme="minorEastAsia"/>
                <w:snapToGrid w:val="0"/>
                <w:kern w:val="21"/>
                <w:szCs w:val="21"/>
              </w:rPr>
            </w:pPr>
          </w:p>
        </w:tc>
        <w:tc>
          <w:tcPr>
            <w:tcW w:w="1417" w:type="dxa"/>
            <w:vAlign w:val="center"/>
          </w:tcPr>
          <w:p>
            <w:pPr>
              <w:pStyle w:val="41"/>
              <w:spacing w:beforeLines="0" w:afterLines="0" w:line="240" w:lineRule="auto"/>
              <w:rPr>
                <w:rFonts w:ascii="Times New Roman" w:eastAsiaTheme="minorEastAsia"/>
                <w:snapToGrid w:val="0"/>
                <w:kern w:val="21"/>
                <w:szCs w:val="21"/>
              </w:rPr>
            </w:pPr>
            <w:r>
              <w:rPr>
                <w:rFonts w:ascii="Times New Roman" w:eastAsiaTheme="minorEastAsia"/>
                <w:snapToGrid w:val="0"/>
                <w:kern w:val="21"/>
                <w:szCs w:val="21"/>
              </w:rPr>
              <w:t>BOD</w:t>
            </w:r>
            <w:r>
              <w:rPr>
                <w:rFonts w:ascii="Times New Roman" w:eastAsiaTheme="minorEastAsia"/>
                <w:snapToGrid w:val="0"/>
                <w:kern w:val="21"/>
                <w:szCs w:val="21"/>
                <w:vertAlign w:val="subscript"/>
              </w:rPr>
              <w:t>5</w:t>
            </w:r>
          </w:p>
        </w:tc>
        <w:tc>
          <w:tcPr>
            <w:tcW w:w="1701" w:type="dxa"/>
            <w:vAlign w:val="center"/>
          </w:tcPr>
          <w:p>
            <w:pPr>
              <w:pStyle w:val="41"/>
              <w:spacing w:beforeLines="0" w:afterLines="0" w:line="240" w:lineRule="auto"/>
              <w:rPr>
                <w:rFonts w:ascii="Times New Roman" w:eastAsiaTheme="minorEastAsia"/>
                <w:snapToGrid w:val="0"/>
                <w:kern w:val="21"/>
                <w:szCs w:val="21"/>
              </w:rPr>
            </w:pPr>
          </w:p>
        </w:tc>
        <w:tc>
          <w:tcPr>
            <w:tcW w:w="1276" w:type="dxa"/>
            <w:vAlign w:val="center"/>
          </w:tcPr>
          <w:p>
            <w:pPr>
              <w:pStyle w:val="41"/>
              <w:spacing w:beforeLines="0" w:afterLines="0" w:line="240" w:lineRule="auto"/>
              <w:rPr>
                <w:rFonts w:ascii="Times New Roman" w:eastAsiaTheme="minorEastAsia"/>
                <w:snapToGrid w:val="0"/>
                <w:kern w:val="21"/>
                <w:szCs w:val="21"/>
              </w:rPr>
            </w:pPr>
          </w:p>
        </w:tc>
        <w:tc>
          <w:tcPr>
            <w:tcW w:w="1701" w:type="dxa"/>
            <w:vAlign w:val="center"/>
          </w:tcPr>
          <w:p>
            <w:pPr>
              <w:pStyle w:val="41"/>
              <w:spacing w:beforeLines="0" w:afterLines="0" w:line="240" w:lineRule="auto"/>
              <w:rPr>
                <w:rFonts w:ascii="Times New Roman" w:eastAsiaTheme="minorEastAsia"/>
                <w:snapToGrid w:val="0"/>
                <w:kern w:val="21"/>
                <w:szCs w:val="21"/>
              </w:rPr>
            </w:pPr>
          </w:p>
        </w:tc>
        <w:tc>
          <w:tcPr>
            <w:tcW w:w="1559" w:type="dxa"/>
            <w:vAlign w:val="center"/>
          </w:tcPr>
          <w:p>
            <w:pPr>
              <w:pStyle w:val="60"/>
              <w:rPr>
                <w:rFonts w:eastAsiaTheme="minorEastAsia"/>
                <w:szCs w:val="21"/>
              </w:rPr>
            </w:pPr>
            <w:r>
              <w:rPr>
                <w:rFonts w:hint="eastAsia" w:eastAsiaTheme="minorEastAsia"/>
                <w:szCs w:val="21"/>
              </w:rPr>
              <w:t>0.086</w:t>
            </w:r>
          </w:p>
        </w:tc>
        <w:tc>
          <w:tcPr>
            <w:tcW w:w="1559" w:type="dxa"/>
            <w:vAlign w:val="center"/>
          </w:tcPr>
          <w:p>
            <w:pPr>
              <w:pStyle w:val="41"/>
              <w:spacing w:beforeLines="0" w:afterLines="0" w:line="240" w:lineRule="auto"/>
              <w:rPr>
                <w:rFonts w:ascii="Times New Roman" w:eastAsiaTheme="minorEastAsia"/>
                <w:snapToGrid w:val="0"/>
                <w:kern w:val="21"/>
                <w:szCs w:val="21"/>
              </w:rPr>
            </w:pPr>
          </w:p>
        </w:tc>
        <w:tc>
          <w:tcPr>
            <w:tcW w:w="1843" w:type="dxa"/>
            <w:vAlign w:val="center"/>
          </w:tcPr>
          <w:p>
            <w:pPr>
              <w:pStyle w:val="60"/>
              <w:rPr>
                <w:rFonts w:eastAsiaTheme="minorEastAsia"/>
                <w:szCs w:val="21"/>
              </w:rPr>
            </w:pPr>
            <w:r>
              <w:rPr>
                <w:rFonts w:hint="eastAsia" w:eastAsiaTheme="minorEastAsia"/>
                <w:szCs w:val="21"/>
              </w:rPr>
              <w:t>0.086</w:t>
            </w:r>
          </w:p>
        </w:tc>
        <w:tc>
          <w:tcPr>
            <w:tcW w:w="1144" w:type="dxa"/>
            <w:vAlign w:val="center"/>
          </w:tcPr>
          <w:p>
            <w:pPr>
              <w:pStyle w:val="60"/>
              <w:rPr>
                <w:rFonts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1588" w:type="dxa"/>
            <w:vMerge w:val="continue"/>
            <w:vAlign w:val="center"/>
          </w:tcPr>
          <w:p>
            <w:pPr>
              <w:pStyle w:val="41"/>
              <w:spacing w:beforeLines="0" w:afterLines="0" w:line="240" w:lineRule="auto"/>
              <w:rPr>
                <w:rFonts w:ascii="Times New Roman" w:eastAsiaTheme="minorEastAsia"/>
                <w:snapToGrid w:val="0"/>
                <w:kern w:val="21"/>
                <w:szCs w:val="21"/>
              </w:rPr>
            </w:pPr>
          </w:p>
        </w:tc>
        <w:tc>
          <w:tcPr>
            <w:tcW w:w="1417" w:type="dxa"/>
            <w:vAlign w:val="center"/>
          </w:tcPr>
          <w:p>
            <w:pPr>
              <w:pStyle w:val="41"/>
              <w:spacing w:beforeLines="0" w:afterLines="0" w:line="240" w:lineRule="auto"/>
              <w:rPr>
                <w:rFonts w:ascii="Times New Roman" w:eastAsiaTheme="minorEastAsia"/>
                <w:snapToGrid w:val="0"/>
                <w:kern w:val="21"/>
                <w:szCs w:val="21"/>
              </w:rPr>
            </w:pPr>
            <w:r>
              <w:rPr>
                <w:rFonts w:ascii="Times New Roman" w:eastAsiaTheme="minorEastAsia"/>
                <w:snapToGrid w:val="0"/>
                <w:kern w:val="21"/>
                <w:szCs w:val="21"/>
              </w:rPr>
              <w:t>SS</w:t>
            </w:r>
          </w:p>
        </w:tc>
        <w:tc>
          <w:tcPr>
            <w:tcW w:w="1701" w:type="dxa"/>
            <w:vAlign w:val="center"/>
          </w:tcPr>
          <w:p>
            <w:pPr>
              <w:pStyle w:val="41"/>
              <w:spacing w:beforeLines="0" w:afterLines="0" w:line="240" w:lineRule="auto"/>
              <w:rPr>
                <w:rFonts w:ascii="Times New Roman" w:eastAsiaTheme="minorEastAsia"/>
                <w:snapToGrid w:val="0"/>
                <w:kern w:val="21"/>
                <w:szCs w:val="21"/>
              </w:rPr>
            </w:pPr>
          </w:p>
        </w:tc>
        <w:tc>
          <w:tcPr>
            <w:tcW w:w="1276" w:type="dxa"/>
            <w:vAlign w:val="center"/>
          </w:tcPr>
          <w:p>
            <w:pPr>
              <w:pStyle w:val="41"/>
              <w:spacing w:beforeLines="0" w:afterLines="0" w:line="240" w:lineRule="auto"/>
              <w:rPr>
                <w:rFonts w:ascii="Times New Roman" w:eastAsiaTheme="minorEastAsia"/>
                <w:snapToGrid w:val="0"/>
                <w:kern w:val="21"/>
                <w:szCs w:val="21"/>
              </w:rPr>
            </w:pPr>
          </w:p>
        </w:tc>
        <w:tc>
          <w:tcPr>
            <w:tcW w:w="1701" w:type="dxa"/>
            <w:vAlign w:val="center"/>
          </w:tcPr>
          <w:p>
            <w:pPr>
              <w:pStyle w:val="41"/>
              <w:spacing w:beforeLines="0" w:afterLines="0" w:line="240" w:lineRule="auto"/>
              <w:rPr>
                <w:rFonts w:ascii="Times New Roman" w:eastAsiaTheme="minorEastAsia"/>
                <w:snapToGrid w:val="0"/>
                <w:kern w:val="21"/>
                <w:szCs w:val="21"/>
              </w:rPr>
            </w:pPr>
          </w:p>
        </w:tc>
        <w:tc>
          <w:tcPr>
            <w:tcW w:w="1559" w:type="dxa"/>
            <w:vAlign w:val="center"/>
          </w:tcPr>
          <w:p>
            <w:pPr>
              <w:pStyle w:val="60"/>
              <w:rPr>
                <w:rFonts w:eastAsiaTheme="minorEastAsia"/>
                <w:szCs w:val="21"/>
              </w:rPr>
            </w:pPr>
            <w:r>
              <w:rPr>
                <w:rFonts w:hint="eastAsia" w:eastAsiaTheme="minorEastAsia"/>
                <w:szCs w:val="21"/>
              </w:rPr>
              <w:t>0.084</w:t>
            </w:r>
          </w:p>
        </w:tc>
        <w:tc>
          <w:tcPr>
            <w:tcW w:w="1559" w:type="dxa"/>
            <w:vAlign w:val="center"/>
          </w:tcPr>
          <w:p>
            <w:pPr>
              <w:pStyle w:val="41"/>
              <w:spacing w:beforeLines="0" w:afterLines="0" w:line="240" w:lineRule="auto"/>
              <w:rPr>
                <w:rFonts w:ascii="Times New Roman" w:eastAsiaTheme="minorEastAsia"/>
                <w:snapToGrid w:val="0"/>
                <w:kern w:val="21"/>
                <w:szCs w:val="21"/>
              </w:rPr>
            </w:pPr>
          </w:p>
        </w:tc>
        <w:tc>
          <w:tcPr>
            <w:tcW w:w="1843" w:type="dxa"/>
            <w:vAlign w:val="center"/>
          </w:tcPr>
          <w:p>
            <w:pPr>
              <w:pStyle w:val="60"/>
              <w:rPr>
                <w:rFonts w:eastAsiaTheme="minorEastAsia"/>
                <w:szCs w:val="21"/>
              </w:rPr>
            </w:pPr>
            <w:r>
              <w:rPr>
                <w:rFonts w:hint="eastAsia" w:eastAsiaTheme="minorEastAsia"/>
                <w:szCs w:val="21"/>
              </w:rPr>
              <w:t>0.084</w:t>
            </w:r>
          </w:p>
        </w:tc>
        <w:tc>
          <w:tcPr>
            <w:tcW w:w="1144" w:type="dxa"/>
            <w:vAlign w:val="center"/>
          </w:tcPr>
          <w:p>
            <w:pPr>
              <w:pStyle w:val="60"/>
              <w:rPr>
                <w:rFonts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1588" w:type="dxa"/>
            <w:vMerge w:val="continue"/>
            <w:vAlign w:val="center"/>
          </w:tcPr>
          <w:p>
            <w:pPr>
              <w:pStyle w:val="41"/>
              <w:spacing w:beforeLines="0" w:afterLines="0" w:line="240" w:lineRule="auto"/>
              <w:rPr>
                <w:rFonts w:ascii="Times New Roman" w:eastAsiaTheme="minorEastAsia"/>
                <w:snapToGrid w:val="0"/>
                <w:kern w:val="21"/>
                <w:szCs w:val="21"/>
              </w:rPr>
            </w:pPr>
          </w:p>
        </w:tc>
        <w:tc>
          <w:tcPr>
            <w:tcW w:w="1417" w:type="dxa"/>
            <w:vAlign w:val="center"/>
          </w:tcPr>
          <w:p>
            <w:pPr>
              <w:pStyle w:val="41"/>
              <w:spacing w:beforeLines="0" w:afterLines="0" w:line="240" w:lineRule="auto"/>
              <w:rPr>
                <w:rFonts w:ascii="Times New Roman" w:eastAsiaTheme="minorEastAsia"/>
                <w:snapToGrid w:val="0"/>
                <w:kern w:val="21"/>
                <w:szCs w:val="21"/>
              </w:rPr>
            </w:pPr>
            <w:r>
              <w:rPr>
                <w:rFonts w:ascii="Times New Roman" w:eastAsiaTheme="minorEastAsia"/>
                <w:snapToGrid w:val="0"/>
                <w:kern w:val="21"/>
                <w:szCs w:val="21"/>
              </w:rPr>
              <w:t>NH</w:t>
            </w:r>
            <w:r>
              <w:rPr>
                <w:rFonts w:ascii="Times New Roman" w:eastAsiaTheme="minorEastAsia"/>
                <w:snapToGrid w:val="0"/>
                <w:kern w:val="21"/>
                <w:szCs w:val="21"/>
                <w:vertAlign w:val="subscript"/>
              </w:rPr>
              <w:t>3</w:t>
            </w:r>
            <w:r>
              <w:rPr>
                <w:rFonts w:ascii="Times New Roman" w:eastAsiaTheme="minorEastAsia"/>
                <w:snapToGrid w:val="0"/>
                <w:kern w:val="21"/>
                <w:szCs w:val="21"/>
              </w:rPr>
              <w:t>-N</w:t>
            </w:r>
          </w:p>
        </w:tc>
        <w:tc>
          <w:tcPr>
            <w:tcW w:w="1701" w:type="dxa"/>
            <w:vAlign w:val="center"/>
          </w:tcPr>
          <w:p>
            <w:pPr>
              <w:pStyle w:val="41"/>
              <w:spacing w:beforeLines="0" w:afterLines="0" w:line="240" w:lineRule="auto"/>
              <w:rPr>
                <w:rFonts w:ascii="Times New Roman" w:eastAsiaTheme="minorEastAsia"/>
                <w:snapToGrid w:val="0"/>
                <w:kern w:val="21"/>
                <w:szCs w:val="21"/>
              </w:rPr>
            </w:pPr>
          </w:p>
        </w:tc>
        <w:tc>
          <w:tcPr>
            <w:tcW w:w="1276" w:type="dxa"/>
            <w:vAlign w:val="center"/>
          </w:tcPr>
          <w:p>
            <w:pPr>
              <w:pStyle w:val="41"/>
              <w:spacing w:beforeLines="0" w:afterLines="0" w:line="240" w:lineRule="auto"/>
              <w:rPr>
                <w:rFonts w:ascii="Times New Roman" w:eastAsiaTheme="minorEastAsia"/>
                <w:snapToGrid w:val="0"/>
                <w:kern w:val="21"/>
                <w:szCs w:val="21"/>
              </w:rPr>
            </w:pPr>
          </w:p>
        </w:tc>
        <w:tc>
          <w:tcPr>
            <w:tcW w:w="1701" w:type="dxa"/>
            <w:vAlign w:val="center"/>
          </w:tcPr>
          <w:p>
            <w:pPr>
              <w:pStyle w:val="41"/>
              <w:spacing w:beforeLines="0" w:afterLines="0" w:line="240" w:lineRule="auto"/>
              <w:rPr>
                <w:rFonts w:ascii="Times New Roman" w:eastAsiaTheme="minorEastAsia"/>
                <w:snapToGrid w:val="0"/>
                <w:kern w:val="21"/>
                <w:szCs w:val="21"/>
              </w:rPr>
            </w:pPr>
          </w:p>
        </w:tc>
        <w:tc>
          <w:tcPr>
            <w:tcW w:w="1559" w:type="dxa"/>
            <w:vAlign w:val="center"/>
          </w:tcPr>
          <w:p>
            <w:pPr>
              <w:pStyle w:val="60"/>
              <w:rPr>
                <w:rFonts w:eastAsiaTheme="minorEastAsia"/>
                <w:szCs w:val="21"/>
              </w:rPr>
            </w:pPr>
            <w:r>
              <w:rPr>
                <w:rFonts w:hint="eastAsia" w:eastAsiaTheme="minorEastAsia"/>
                <w:szCs w:val="21"/>
              </w:rPr>
              <w:t>0.014</w:t>
            </w:r>
          </w:p>
        </w:tc>
        <w:tc>
          <w:tcPr>
            <w:tcW w:w="1559" w:type="dxa"/>
            <w:vAlign w:val="center"/>
          </w:tcPr>
          <w:p>
            <w:pPr>
              <w:pStyle w:val="41"/>
              <w:spacing w:beforeLines="0" w:afterLines="0" w:line="240" w:lineRule="auto"/>
              <w:rPr>
                <w:rFonts w:ascii="Times New Roman" w:eastAsiaTheme="minorEastAsia"/>
                <w:snapToGrid w:val="0"/>
                <w:kern w:val="21"/>
                <w:szCs w:val="21"/>
              </w:rPr>
            </w:pPr>
          </w:p>
        </w:tc>
        <w:tc>
          <w:tcPr>
            <w:tcW w:w="1843" w:type="dxa"/>
            <w:vAlign w:val="center"/>
          </w:tcPr>
          <w:p>
            <w:pPr>
              <w:pStyle w:val="60"/>
              <w:rPr>
                <w:rFonts w:eastAsiaTheme="minorEastAsia"/>
                <w:szCs w:val="21"/>
              </w:rPr>
            </w:pPr>
            <w:r>
              <w:rPr>
                <w:rFonts w:hint="eastAsia" w:eastAsiaTheme="minorEastAsia"/>
                <w:szCs w:val="21"/>
              </w:rPr>
              <w:t>0.014</w:t>
            </w:r>
          </w:p>
        </w:tc>
        <w:tc>
          <w:tcPr>
            <w:tcW w:w="1144" w:type="dxa"/>
            <w:vAlign w:val="center"/>
          </w:tcPr>
          <w:p>
            <w:pPr>
              <w:pStyle w:val="60"/>
              <w:rPr>
                <w:rFonts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1588" w:type="dxa"/>
            <w:vMerge w:val="continue"/>
            <w:vAlign w:val="center"/>
          </w:tcPr>
          <w:p>
            <w:pPr>
              <w:pStyle w:val="41"/>
              <w:spacing w:beforeLines="0" w:afterLines="0" w:line="240" w:lineRule="auto"/>
              <w:rPr>
                <w:rFonts w:ascii="Times New Roman" w:eastAsiaTheme="minorEastAsia"/>
                <w:snapToGrid w:val="0"/>
                <w:kern w:val="21"/>
                <w:szCs w:val="21"/>
              </w:rPr>
            </w:pPr>
          </w:p>
        </w:tc>
        <w:tc>
          <w:tcPr>
            <w:tcW w:w="1417" w:type="dxa"/>
            <w:vAlign w:val="center"/>
          </w:tcPr>
          <w:p>
            <w:pPr>
              <w:pStyle w:val="41"/>
              <w:spacing w:beforeLines="0" w:afterLines="0" w:line="240" w:lineRule="auto"/>
              <w:rPr>
                <w:rFonts w:ascii="Times New Roman" w:eastAsiaTheme="minorEastAsia"/>
                <w:snapToGrid w:val="0"/>
                <w:kern w:val="21"/>
                <w:szCs w:val="21"/>
              </w:rPr>
            </w:pPr>
            <w:r>
              <w:rPr>
                <w:rFonts w:ascii="Times New Roman" w:eastAsiaTheme="minorEastAsia"/>
                <w:snapToGrid w:val="0"/>
                <w:kern w:val="21"/>
                <w:szCs w:val="21"/>
              </w:rPr>
              <w:t>动植物油</w:t>
            </w:r>
          </w:p>
        </w:tc>
        <w:tc>
          <w:tcPr>
            <w:tcW w:w="1701" w:type="dxa"/>
            <w:vAlign w:val="center"/>
          </w:tcPr>
          <w:p>
            <w:pPr>
              <w:pStyle w:val="41"/>
              <w:spacing w:beforeLines="0" w:afterLines="0" w:line="240" w:lineRule="auto"/>
              <w:rPr>
                <w:rFonts w:ascii="Times New Roman" w:eastAsiaTheme="minorEastAsia"/>
                <w:snapToGrid w:val="0"/>
                <w:kern w:val="21"/>
                <w:szCs w:val="21"/>
              </w:rPr>
            </w:pPr>
          </w:p>
        </w:tc>
        <w:tc>
          <w:tcPr>
            <w:tcW w:w="1276" w:type="dxa"/>
            <w:vAlign w:val="center"/>
          </w:tcPr>
          <w:p>
            <w:pPr>
              <w:pStyle w:val="41"/>
              <w:spacing w:beforeLines="0" w:afterLines="0" w:line="240" w:lineRule="auto"/>
              <w:rPr>
                <w:rFonts w:ascii="Times New Roman" w:eastAsiaTheme="minorEastAsia"/>
                <w:snapToGrid w:val="0"/>
                <w:kern w:val="21"/>
                <w:szCs w:val="21"/>
              </w:rPr>
            </w:pPr>
          </w:p>
        </w:tc>
        <w:tc>
          <w:tcPr>
            <w:tcW w:w="1701" w:type="dxa"/>
            <w:vAlign w:val="center"/>
          </w:tcPr>
          <w:p>
            <w:pPr>
              <w:pStyle w:val="41"/>
              <w:spacing w:beforeLines="0" w:afterLines="0" w:line="240" w:lineRule="auto"/>
              <w:rPr>
                <w:rFonts w:ascii="Times New Roman" w:eastAsiaTheme="minorEastAsia"/>
                <w:snapToGrid w:val="0"/>
                <w:kern w:val="21"/>
                <w:szCs w:val="21"/>
              </w:rPr>
            </w:pPr>
          </w:p>
        </w:tc>
        <w:tc>
          <w:tcPr>
            <w:tcW w:w="1559" w:type="dxa"/>
            <w:vAlign w:val="center"/>
          </w:tcPr>
          <w:p>
            <w:pPr>
              <w:pStyle w:val="60"/>
              <w:rPr>
                <w:rFonts w:eastAsiaTheme="minorEastAsia"/>
                <w:szCs w:val="21"/>
              </w:rPr>
            </w:pPr>
            <w:r>
              <w:rPr>
                <w:rFonts w:hint="eastAsia" w:eastAsiaTheme="minorEastAsia"/>
                <w:szCs w:val="21"/>
              </w:rPr>
              <w:t>0.014</w:t>
            </w:r>
          </w:p>
        </w:tc>
        <w:tc>
          <w:tcPr>
            <w:tcW w:w="1559" w:type="dxa"/>
            <w:vAlign w:val="center"/>
          </w:tcPr>
          <w:p>
            <w:pPr>
              <w:pStyle w:val="41"/>
              <w:spacing w:beforeLines="0" w:afterLines="0" w:line="240" w:lineRule="auto"/>
              <w:rPr>
                <w:rFonts w:ascii="Times New Roman" w:eastAsiaTheme="minorEastAsia"/>
                <w:snapToGrid w:val="0"/>
                <w:kern w:val="21"/>
                <w:szCs w:val="21"/>
              </w:rPr>
            </w:pPr>
          </w:p>
        </w:tc>
        <w:tc>
          <w:tcPr>
            <w:tcW w:w="1843" w:type="dxa"/>
            <w:vAlign w:val="center"/>
          </w:tcPr>
          <w:p>
            <w:pPr>
              <w:pStyle w:val="60"/>
              <w:rPr>
                <w:rFonts w:eastAsiaTheme="minorEastAsia"/>
                <w:szCs w:val="21"/>
              </w:rPr>
            </w:pPr>
            <w:r>
              <w:rPr>
                <w:rFonts w:hint="eastAsia" w:eastAsiaTheme="minorEastAsia"/>
                <w:szCs w:val="21"/>
              </w:rPr>
              <w:t>0.014</w:t>
            </w:r>
          </w:p>
        </w:tc>
        <w:tc>
          <w:tcPr>
            <w:tcW w:w="1144" w:type="dxa"/>
            <w:vAlign w:val="center"/>
          </w:tcPr>
          <w:p>
            <w:pPr>
              <w:pStyle w:val="60"/>
              <w:rPr>
                <w:rFonts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1588" w:type="dxa"/>
            <w:vMerge w:val="restart"/>
            <w:vAlign w:val="center"/>
          </w:tcPr>
          <w:p>
            <w:pPr>
              <w:pStyle w:val="41"/>
              <w:spacing w:beforeLines="0" w:afterLines="0" w:line="240" w:lineRule="auto"/>
              <w:rPr>
                <w:rFonts w:ascii="Times New Roman" w:eastAsiaTheme="minorEastAsia"/>
                <w:snapToGrid w:val="0"/>
                <w:kern w:val="21"/>
                <w:szCs w:val="21"/>
              </w:rPr>
            </w:pPr>
            <w:r>
              <w:rPr>
                <w:rFonts w:ascii="Times New Roman" w:eastAsiaTheme="minorEastAsia"/>
                <w:snapToGrid w:val="0"/>
                <w:kern w:val="21"/>
                <w:szCs w:val="21"/>
              </w:rPr>
              <w:t>一般工业</w:t>
            </w:r>
          </w:p>
          <w:p>
            <w:pPr>
              <w:pStyle w:val="41"/>
              <w:spacing w:beforeLines="0" w:afterLines="0" w:line="240" w:lineRule="auto"/>
              <w:rPr>
                <w:rFonts w:ascii="Times New Roman" w:eastAsiaTheme="minorEastAsia"/>
                <w:snapToGrid w:val="0"/>
                <w:kern w:val="21"/>
                <w:szCs w:val="21"/>
              </w:rPr>
            </w:pPr>
            <w:r>
              <w:rPr>
                <w:rFonts w:ascii="Times New Roman" w:eastAsiaTheme="minorEastAsia"/>
                <w:snapToGrid w:val="0"/>
                <w:kern w:val="21"/>
                <w:szCs w:val="21"/>
              </w:rPr>
              <w:t>固体废物</w:t>
            </w:r>
          </w:p>
        </w:tc>
        <w:tc>
          <w:tcPr>
            <w:tcW w:w="1417" w:type="dxa"/>
            <w:vAlign w:val="center"/>
          </w:tcPr>
          <w:p>
            <w:pPr>
              <w:pStyle w:val="41"/>
              <w:spacing w:beforeLines="0" w:afterLines="0" w:line="240" w:lineRule="auto"/>
              <w:rPr>
                <w:rFonts w:ascii="Times New Roman" w:eastAsiaTheme="minorEastAsia"/>
                <w:snapToGrid w:val="0"/>
                <w:kern w:val="21"/>
                <w:szCs w:val="21"/>
              </w:rPr>
            </w:pPr>
            <w:r>
              <w:rPr>
                <w:rFonts w:ascii="Times New Roman" w:eastAsiaTheme="minorEastAsia"/>
                <w:snapToGrid w:val="0"/>
                <w:kern w:val="21"/>
                <w:szCs w:val="21"/>
              </w:rPr>
              <w:t>生活垃圾</w:t>
            </w:r>
          </w:p>
        </w:tc>
        <w:tc>
          <w:tcPr>
            <w:tcW w:w="1701" w:type="dxa"/>
            <w:vAlign w:val="center"/>
          </w:tcPr>
          <w:p>
            <w:pPr>
              <w:pStyle w:val="41"/>
              <w:spacing w:beforeLines="0" w:afterLines="0" w:line="240" w:lineRule="auto"/>
              <w:rPr>
                <w:rFonts w:ascii="Times New Roman" w:eastAsiaTheme="minorEastAsia"/>
                <w:snapToGrid w:val="0"/>
                <w:kern w:val="21"/>
                <w:szCs w:val="21"/>
              </w:rPr>
            </w:pPr>
          </w:p>
        </w:tc>
        <w:tc>
          <w:tcPr>
            <w:tcW w:w="1276" w:type="dxa"/>
            <w:vAlign w:val="center"/>
          </w:tcPr>
          <w:p>
            <w:pPr>
              <w:pStyle w:val="41"/>
              <w:spacing w:beforeLines="0" w:afterLines="0" w:line="240" w:lineRule="auto"/>
              <w:rPr>
                <w:rFonts w:ascii="Times New Roman" w:eastAsiaTheme="minorEastAsia"/>
                <w:snapToGrid w:val="0"/>
                <w:kern w:val="21"/>
                <w:szCs w:val="21"/>
              </w:rPr>
            </w:pPr>
          </w:p>
        </w:tc>
        <w:tc>
          <w:tcPr>
            <w:tcW w:w="1701" w:type="dxa"/>
            <w:vAlign w:val="center"/>
          </w:tcPr>
          <w:p>
            <w:pPr>
              <w:pStyle w:val="41"/>
              <w:spacing w:beforeLines="0" w:afterLines="0" w:line="240" w:lineRule="auto"/>
              <w:rPr>
                <w:rFonts w:ascii="Times New Roman" w:eastAsiaTheme="minorEastAsia"/>
                <w:snapToGrid w:val="0"/>
                <w:kern w:val="21"/>
                <w:szCs w:val="21"/>
              </w:rPr>
            </w:pPr>
          </w:p>
        </w:tc>
        <w:tc>
          <w:tcPr>
            <w:tcW w:w="1559" w:type="dxa"/>
            <w:vAlign w:val="center"/>
          </w:tcPr>
          <w:p>
            <w:pPr>
              <w:pStyle w:val="41"/>
              <w:spacing w:beforeLines="0" w:afterLines="0" w:line="240" w:lineRule="auto"/>
              <w:rPr>
                <w:rFonts w:ascii="Times New Roman" w:eastAsiaTheme="minorEastAsia"/>
                <w:snapToGrid w:val="0"/>
                <w:kern w:val="21"/>
                <w:szCs w:val="21"/>
              </w:rPr>
            </w:pPr>
            <w:r>
              <w:rPr>
                <w:rFonts w:hint="eastAsia" w:ascii="Times New Roman" w:eastAsiaTheme="minorEastAsia"/>
                <w:snapToGrid w:val="0"/>
                <w:kern w:val="21"/>
                <w:szCs w:val="21"/>
              </w:rPr>
              <w:t>3.75</w:t>
            </w:r>
          </w:p>
        </w:tc>
        <w:tc>
          <w:tcPr>
            <w:tcW w:w="1559" w:type="dxa"/>
            <w:vAlign w:val="center"/>
          </w:tcPr>
          <w:p>
            <w:pPr>
              <w:pStyle w:val="41"/>
              <w:spacing w:beforeLines="0" w:afterLines="0" w:line="240" w:lineRule="auto"/>
              <w:rPr>
                <w:rFonts w:ascii="Times New Roman" w:eastAsiaTheme="minorEastAsia"/>
                <w:snapToGrid w:val="0"/>
                <w:kern w:val="21"/>
                <w:szCs w:val="21"/>
              </w:rPr>
            </w:pPr>
          </w:p>
        </w:tc>
        <w:tc>
          <w:tcPr>
            <w:tcW w:w="1843" w:type="dxa"/>
            <w:vAlign w:val="center"/>
          </w:tcPr>
          <w:p>
            <w:pPr>
              <w:pStyle w:val="41"/>
              <w:spacing w:beforeLines="0" w:afterLines="0" w:line="240" w:lineRule="auto"/>
              <w:rPr>
                <w:rFonts w:ascii="Times New Roman" w:eastAsiaTheme="minorEastAsia"/>
                <w:snapToGrid w:val="0"/>
                <w:kern w:val="21"/>
                <w:szCs w:val="21"/>
              </w:rPr>
            </w:pPr>
            <w:r>
              <w:rPr>
                <w:rFonts w:hint="eastAsia" w:ascii="Times New Roman" w:eastAsiaTheme="minorEastAsia"/>
                <w:snapToGrid w:val="0"/>
                <w:kern w:val="21"/>
                <w:szCs w:val="21"/>
              </w:rPr>
              <w:t>3.75</w:t>
            </w:r>
          </w:p>
        </w:tc>
        <w:tc>
          <w:tcPr>
            <w:tcW w:w="1144" w:type="dxa"/>
            <w:vAlign w:val="center"/>
          </w:tcPr>
          <w:p>
            <w:pPr>
              <w:pStyle w:val="41"/>
              <w:spacing w:beforeLines="0" w:afterLines="0" w:line="240" w:lineRule="auto"/>
              <w:rPr>
                <w:rFonts w:ascii="Times New Roman" w:eastAsiaTheme="minorEastAsia"/>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1588" w:type="dxa"/>
            <w:vMerge w:val="continue"/>
            <w:vAlign w:val="center"/>
          </w:tcPr>
          <w:p>
            <w:pPr>
              <w:pStyle w:val="41"/>
              <w:spacing w:beforeLines="0" w:afterLines="0" w:line="240" w:lineRule="auto"/>
              <w:rPr>
                <w:rFonts w:ascii="Times New Roman" w:eastAsiaTheme="minorEastAsia"/>
                <w:snapToGrid w:val="0"/>
                <w:kern w:val="21"/>
                <w:szCs w:val="21"/>
              </w:rPr>
            </w:pPr>
          </w:p>
        </w:tc>
        <w:tc>
          <w:tcPr>
            <w:tcW w:w="1417" w:type="dxa"/>
            <w:vAlign w:val="center"/>
          </w:tcPr>
          <w:p>
            <w:pPr>
              <w:pStyle w:val="41"/>
              <w:spacing w:beforeLines="0" w:afterLines="0" w:line="240" w:lineRule="auto"/>
              <w:rPr>
                <w:rFonts w:ascii="Times New Roman" w:eastAsiaTheme="minorEastAsia"/>
                <w:snapToGrid w:val="0"/>
                <w:kern w:val="21"/>
                <w:szCs w:val="21"/>
              </w:rPr>
            </w:pPr>
            <w:r>
              <w:rPr>
                <w:rFonts w:hint="eastAsia" w:eastAsiaTheme="minorEastAsia"/>
              </w:rPr>
              <w:t>粮食初清杂质</w:t>
            </w:r>
          </w:p>
        </w:tc>
        <w:tc>
          <w:tcPr>
            <w:tcW w:w="1701" w:type="dxa"/>
            <w:vAlign w:val="center"/>
          </w:tcPr>
          <w:p>
            <w:pPr>
              <w:pStyle w:val="41"/>
              <w:spacing w:beforeLines="0" w:afterLines="0" w:line="240" w:lineRule="auto"/>
              <w:rPr>
                <w:rFonts w:ascii="Times New Roman" w:eastAsiaTheme="minorEastAsia"/>
                <w:snapToGrid w:val="0"/>
                <w:kern w:val="21"/>
                <w:szCs w:val="21"/>
              </w:rPr>
            </w:pPr>
          </w:p>
        </w:tc>
        <w:tc>
          <w:tcPr>
            <w:tcW w:w="1276" w:type="dxa"/>
            <w:vAlign w:val="center"/>
          </w:tcPr>
          <w:p>
            <w:pPr>
              <w:pStyle w:val="41"/>
              <w:spacing w:beforeLines="0" w:afterLines="0" w:line="240" w:lineRule="auto"/>
              <w:rPr>
                <w:rFonts w:ascii="Times New Roman" w:eastAsiaTheme="minorEastAsia"/>
                <w:snapToGrid w:val="0"/>
                <w:kern w:val="21"/>
                <w:szCs w:val="21"/>
              </w:rPr>
            </w:pPr>
          </w:p>
        </w:tc>
        <w:tc>
          <w:tcPr>
            <w:tcW w:w="1701" w:type="dxa"/>
            <w:vAlign w:val="center"/>
          </w:tcPr>
          <w:p>
            <w:pPr>
              <w:pStyle w:val="41"/>
              <w:spacing w:beforeLines="0" w:afterLines="0" w:line="240" w:lineRule="auto"/>
              <w:rPr>
                <w:rFonts w:ascii="Times New Roman" w:eastAsiaTheme="minorEastAsia"/>
                <w:snapToGrid w:val="0"/>
                <w:kern w:val="21"/>
                <w:szCs w:val="21"/>
              </w:rPr>
            </w:pPr>
          </w:p>
        </w:tc>
        <w:tc>
          <w:tcPr>
            <w:tcW w:w="1559" w:type="dxa"/>
            <w:vAlign w:val="center"/>
          </w:tcPr>
          <w:p>
            <w:pPr>
              <w:pStyle w:val="41"/>
              <w:spacing w:beforeLines="0" w:afterLines="0" w:line="240" w:lineRule="auto"/>
              <w:rPr>
                <w:rFonts w:ascii="Times New Roman" w:eastAsiaTheme="minorEastAsia"/>
                <w:snapToGrid w:val="0"/>
                <w:kern w:val="21"/>
                <w:szCs w:val="21"/>
              </w:rPr>
            </w:pPr>
            <w:r>
              <w:rPr>
                <w:rFonts w:hint="eastAsia" w:ascii="Times New Roman" w:eastAsiaTheme="minorEastAsia"/>
                <w:snapToGrid w:val="0"/>
                <w:kern w:val="21"/>
                <w:szCs w:val="21"/>
              </w:rPr>
              <w:t>390</w:t>
            </w:r>
          </w:p>
        </w:tc>
        <w:tc>
          <w:tcPr>
            <w:tcW w:w="1559" w:type="dxa"/>
            <w:vAlign w:val="center"/>
          </w:tcPr>
          <w:p>
            <w:pPr>
              <w:pStyle w:val="41"/>
              <w:spacing w:beforeLines="0" w:afterLines="0" w:line="240" w:lineRule="auto"/>
              <w:rPr>
                <w:rFonts w:ascii="Times New Roman" w:eastAsiaTheme="minorEastAsia"/>
                <w:snapToGrid w:val="0"/>
                <w:kern w:val="21"/>
                <w:szCs w:val="21"/>
              </w:rPr>
            </w:pPr>
          </w:p>
        </w:tc>
        <w:tc>
          <w:tcPr>
            <w:tcW w:w="1843" w:type="dxa"/>
            <w:vAlign w:val="center"/>
          </w:tcPr>
          <w:p>
            <w:pPr>
              <w:pStyle w:val="41"/>
              <w:spacing w:beforeLines="0" w:afterLines="0" w:line="240" w:lineRule="auto"/>
              <w:rPr>
                <w:rFonts w:ascii="Times New Roman" w:eastAsiaTheme="minorEastAsia"/>
                <w:snapToGrid w:val="0"/>
                <w:kern w:val="21"/>
                <w:szCs w:val="21"/>
              </w:rPr>
            </w:pPr>
            <w:r>
              <w:rPr>
                <w:rFonts w:hint="eastAsia" w:ascii="Times New Roman" w:eastAsiaTheme="minorEastAsia"/>
                <w:snapToGrid w:val="0"/>
                <w:kern w:val="21"/>
                <w:szCs w:val="21"/>
              </w:rPr>
              <w:t>390</w:t>
            </w:r>
          </w:p>
        </w:tc>
        <w:tc>
          <w:tcPr>
            <w:tcW w:w="1144" w:type="dxa"/>
            <w:vAlign w:val="center"/>
          </w:tcPr>
          <w:p>
            <w:pPr>
              <w:pStyle w:val="41"/>
              <w:spacing w:beforeLines="0" w:afterLines="0" w:line="240" w:lineRule="auto"/>
              <w:rPr>
                <w:rFonts w:ascii="Times New Roman" w:eastAsiaTheme="minorEastAsia"/>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588" w:type="dxa"/>
            <w:vMerge w:val="continue"/>
            <w:vAlign w:val="center"/>
          </w:tcPr>
          <w:p>
            <w:pPr>
              <w:pStyle w:val="41"/>
              <w:spacing w:beforeLines="0" w:afterLines="0" w:line="240" w:lineRule="auto"/>
              <w:rPr>
                <w:rFonts w:ascii="Times New Roman" w:eastAsiaTheme="minorEastAsia"/>
                <w:snapToGrid w:val="0"/>
                <w:kern w:val="21"/>
                <w:szCs w:val="21"/>
              </w:rPr>
            </w:pPr>
          </w:p>
        </w:tc>
        <w:tc>
          <w:tcPr>
            <w:tcW w:w="1417" w:type="dxa"/>
            <w:vAlign w:val="center"/>
          </w:tcPr>
          <w:p>
            <w:pPr>
              <w:pStyle w:val="41"/>
              <w:spacing w:beforeLines="0" w:afterLines="0" w:line="240" w:lineRule="auto"/>
              <w:rPr>
                <w:rFonts w:ascii="Times New Roman" w:eastAsiaTheme="minorEastAsia"/>
                <w:snapToGrid w:val="0"/>
                <w:kern w:val="21"/>
                <w:szCs w:val="21"/>
              </w:rPr>
            </w:pPr>
            <w:r>
              <w:rPr>
                <w:rFonts w:hint="eastAsia" w:eastAsiaTheme="minorEastAsia"/>
                <w:bCs/>
                <w:szCs w:val="21"/>
              </w:rPr>
              <w:t>收集灰</w:t>
            </w:r>
          </w:p>
        </w:tc>
        <w:tc>
          <w:tcPr>
            <w:tcW w:w="1701" w:type="dxa"/>
            <w:vAlign w:val="center"/>
          </w:tcPr>
          <w:p>
            <w:pPr>
              <w:pStyle w:val="41"/>
              <w:spacing w:beforeLines="0" w:afterLines="0" w:line="240" w:lineRule="auto"/>
              <w:rPr>
                <w:rFonts w:ascii="Times New Roman" w:eastAsiaTheme="minorEastAsia"/>
                <w:snapToGrid w:val="0"/>
                <w:kern w:val="21"/>
                <w:szCs w:val="21"/>
              </w:rPr>
            </w:pPr>
          </w:p>
        </w:tc>
        <w:tc>
          <w:tcPr>
            <w:tcW w:w="1276" w:type="dxa"/>
            <w:vAlign w:val="center"/>
          </w:tcPr>
          <w:p>
            <w:pPr>
              <w:pStyle w:val="41"/>
              <w:spacing w:beforeLines="0" w:afterLines="0" w:line="240" w:lineRule="auto"/>
              <w:rPr>
                <w:rFonts w:ascii="Times New Roman" w:eastAsiaTheme="minorEastAsia"/>
                <w:snapToGrid w:val="0"/>
                <w:kern w:val="21"/>
                <w:szCs w:val="21"/>
              </w:rPr>
            </w:pPr>
          </w:p>
        </w:tc>
        <w:tc>
          <w:tcPr>
            <w:tcW w:w="1701" w:type="dxa"/>
            <w:vAlign w:val="center"/>
          </w:tcPr>
          <w:p>
            <w:pPr>
              <w:pStyle w:val="41"/>
              <w:spacing w:beforeLines="0" w:afterLines="0" w:line="240" w:lineRule="auto"/>
              <w:rPr>
                <w:rFonts w:ascii="Times New Roman" w:eastAsiaTheme="minorEastAsia"/>
                <w:snapToGrid w:val="0"/>
                <w:kern w:val="21"/>
                <w:szCs w:val="21"/>
              </w:rPr>
            </w:pPr>
          </w:p>
        </w:tc>
        <w:tc>
          <w:tcPr>
            <w:tcW w:w="1559" w:type="dxa"/>
            <w:vAlign w:val="center"/>
          </w:tcPr>
          <w:p>
            <w:pPr>
              <w:pStyle w:val="41"/>
              <w:spacing w:beforeLines="0" w:afterLines="0" w:line="240" w:lineRule="auto"/>
              <w:rPr>
                <w:rFonts w:ascii="Times New Roman" w:eastAsiaTheme="minorEastAsia"/>
                <w:snapToGrid w:val="0"/>
                <w:kern w:val="21"/>
                <w:szCs w:val="21"/>
              </w:rPr>
            </w:pPr>
            <w:r>
              <w:rPr>
                <w:rFonts w:hint="eastAsia" w:ascii="Times New Roman" w:eastAsiaTheme="minorEastAsia"/>
                <w:snapToGrid w:val="0"/>
                <w:kern w:val="21"/>
                <w:szCs w:val="21"/>
              </w:rPr>
              <w:t>6.354</w:t>
            </w:r>
          </w:p>
        </w:tc>
        <w:tc>
          <w:tcPr>
            <w:tcW w:w="1559" w:type="dxa"/>
            <w:vAlign w:val="center"/>
          </w:tcPr>
          <w:p>
            <w:pPr>
              <w:pStyle w:val="41"/>
              <w:spacing w:beforeLines="0" w:afterLines="0" w:line="240" w:lineRule="auto"/>
              <w:rPr>
                <w:rFonts w:ascii="Times New Roman" w:eastAsiaTheme="minorEastAsia"/>
                <w:snapToGrid w:val="0"/>
                <w:kern w:val="21"/>
                <w:szCs w:val="21"/>
              </w:rPr>
            </w:pPr>
          </w:p>
        </w:tc>
        <w:tc>
          <w:tcPr>
            <w:tcW w:w="1843" w:type="dxa"/>
            <w:vAlign w:val="center"/>
          </w:tcPr>
          <w:p>
            <w:pPr>
              <w:pStyle w:val="41"/>
              <w:spacing w:beforeLines="0" w:afterLines="0" w:line="240" w:lineRule="auto"/>
              <w:rPr>
                <w:rFonts w:ascii="Times New Roman" w:eastAsiaTheme="minorEastAsia"/>
                <w:snapToGrid w:val="0"/>
                <w:kern w:val="21"/>
                <w:szCs w:val="21"/>
              </w:rPr>
            </w:pPr>
            <w:r>
              <w:rPr>
                <w:rFonts w:hint="eastAsia" w:ascii="Times New Roman" w:eastAsiaTheme="minorEastAsia"/>
                <w:snapToGrid w:val="0"/>
                <w:kern w:val="21"/>
                <w:szCs w:val="21"/>
              </w:rPr>
              <w:t>6.354</w:t>
            </w:r>
          </w:p>
        </w:tc>
        <w:tc>
          <w:tcPr>
            <w:tcW w:w="1144" w:type="dxa"/>
            <w:vAlign w:val="center"/>
          </w:tcPr>
          <w:p>
            <w:pPr>
              <w:pStyle w:val="41"/>
              <w:spacing w:beforeLines="0" w:afterLines="0" w:line="240" w:lineRule="auto"/>
              <w:rPr>
                <w:rFonts w:ascii="Times New Roman" w:eastAsiaTheme="minorEastAsia"/>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1588" w:type="dxa"/>
            <w:vMerge w:val="continue"/>
            <w:vAlign w:val="center"/>
          </w:tcPr>
          <w:p>
            <w:pPr>
              <w:pStyle w:val="41"/>
              <w:spacing w:beforeLines="0" w:afterLines="0" w:line="240" w:lineRule="auto"/>
              <w:rPr>
                <w:rFonts w:ascii="Times New Roman" w:eastAsiaTheme="minorEastAsia"/>
                <w:snapToGrid w:val="0"/>
                <w:kern w:val="21"/>
                <w:szCs w:val="21"/>
              </w:rPr>
            </w:pPr>
          </w:p>
        </w:tc>
        <w:tc>
          <w:tcPr>
            <w:tcW w:w="1417" w:type="dxa"/>
            <w:vAlign w:val="center"/>
          </w:tcPr>
          <w:p>
            <w:pPr>
              <w:pStyle w:val="41"/>
              <w:spacing w:beforeLines="0" w:afterLines="0" w:line="240" w:lineRule="auto"/>
              <w:rPr>
                <w:rFonts w:ascii="Times New Roman" w:eastAsiaTheme="minorEastAsia"/>
                <w:bCs/>
                <w:szCs w:val="21"/>
              </w:rPr>
            </w:pPr>
            <w:r>
              <w:rPr>
                <w:rFonts w:hint="eastAsia" w:eastAsiaTheme="minorEastAsia"/>
                <w:bCs/>
                <w:szCs w:val="21"/>
              </w:rPr>
              <w:t>热风炉灰渣</w:t>
            </w:r>
          </w:p>
        </w:tc>
        <w:tc>
          <w:tcPr>
            <w:tcW w:w="1701" w:type="dxa"/>
            <w:vAlign w:val="center"/>
          </w:tcPr>
          <w:p>
            <w:pPr>
              <w:pStyle w:val="41"/>
              <w:spacing w:beforeLines="0" w:afterLines="0" w:line="240" w:lineRule="auto"/>
              <w:rPr>
                <w:rFonts w:ascii="Times New Roman" w:eastAsiaTheme="minorEastAsia"/>
                <w:snapToGrid w:val="0"/>
                <w:kern w:val="21"/>
                <w:szCs w:val="21"/>
              </w:rPr>
            </w:pPr>
          </w:p>
        </w:tc>
        <w:tc>
          <w:tcPr>
            <w:tcW w:w="1276" w:type="dxa"/>
            <w:vAlign w:val="center"/>
          </w:tcPr>
          <w:p>
            <w:pPr>
              <w:pStyle w:val="41"/>
              <w:spacing w:beforeLines="0" w:afterLines="0" w:line="240" w:lineRule="auto"/>
              <w:rPr>
                <w:rFonts w:ascii="Times New Roman" w:eastAsiaTheme="minorEastAsia"/>
                <w:snapToGrid w:val="0"/>
                <w:kern w:val="21"/>
                <w:szCs w:val="21"/>
              </w:rPr>
            </w:pPr>
          </w:p>
        </w:tc>
        <w:tc>
          <w:tcPr>
            <w:tcW w:w="1701" w:type="dxa"/>
            <w:vAlign w:val="center"/>
          </w:tcPr>
          <w:p>
            <w:pPr>
              <w:pStyle w:val="41"/>
              <w:spacing w:beforeLines="0" w:afterLines="0" w:line="240" w:lineRule="auto"/>
              <w:rPr>
                <w:rFonts w:ascii="Times New Roman" w:eastAsiaTheme="minorEastAsia"/>
                <w:snapToGrid w:val="0"/>
                <w:kern w:val="21"/>
                <w:szCs w:val="21"/>
              </w:rPr>
            </w:pPr>
          </w:p>
        </w:tc>
        <w:tc>
          <w:tcPr>
            <w:tcW w:w="1559" w:type="dxa"/>
            <w:vAlign w:val="center"/>
          </w:tcPr>
          <w:p>
            <w:pPr>
              <w:pStyle w:val="41"/>
              <w:spacing w:beforeLines="0" w:afterLines="0" w:line="240" w:lineRule="auto"/>
              <w:rPr>
                <w:rFonts w:ascii="Times New Roman" w:eastAsiaTheme="minorEastAsia"/>
                <w:szCs w:val="21"/>
              </w:rPr>
            </w:pPr>
            <w:r>
              <w:rPr>
                <w:rFonts w:hint="eastAsia" w:ascii="Times New Roman" w:eastAsiaTheme="minorEastAsia"/>
                <w:szCs w:val="21"/>
              </w:rPr>
              <w:t>22.36</w:t>
            </w:r>
          </w:p>
        </w:tc>
        <w:tc>
          <w:tcPr>
            <w:tcW w:w="1559" w:type="dxa"/>
            <w:vAlign w:val="center"/>
          </w:tcPr>
          <w:p>
            <w:pPr>
              <w:pStyle w:val="41"/>
              <w:spacing w:beforeLines="0" w:afterLines="0" w:line="240" w:lineRule="auto"/>
              <w:rPr>
                <w:rFonts w:ascii="Times New Roman" w:eastAsiaTheme="minorEastAsia"/>
                <w:snapToGrid w:val="0"/>
                <w:kern w:val="21"/>
                <w:szCs w:val="21"/>
              </w:rPr>
            </w:pPr>
          </w:p>
        </w:tc>
        <w:tc>
          <w:tcPr>
            <w:tcW w:w="1843" w:type="dxa"/>
            <w:vAlign w:val="center"/>
          </w:tcPr>
          <w:p>
            <w:pPr>
              <w:pStyle w:val="41"/>
              <w:spacing w:beforeLines="0" w:afterLines="0" w:line="240" w:lineRule="auto"/>
              <w:rPr>
                <w:rFonts w:ascii="Times New Roman" w:eastAsiaTheme="minorEastAsia"/>
                <w:szCs w:val="21"/>
              </w:rPr>
            </w:pPr>
            <w:r>
              <w:rPr>
                <w:rFonts w:hint="eastAsia" w:ascii="Times New Roman" w:eastAsiaTheme="minorEastAsia"/>
                <w:szCs w:val="21"/>
              </w:rPr>
              <w:t>22.36</w:t>
            </w:r>
          </w:p>
        </w:tc>
        <w:tc>
          <w:tcPr>
            <w:tcW w:w="1144" w:type="dxa"/>
            <w:vAlign w:val="center"/>
          </w:tcPr>
          <w:p>
            <w:pPr>
              <w:pStyle w:val="41"/>
              <w:spacing w:beforeLines="0" w:afterLines="0" w:line="240" w:lineRule="auto"/>
              <w:rPr>
                <w:rFonts w:ascii="Times New Roman" w:eastAsiaTheme="minorEastAsia"/>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41"/>
              <w:spacing w:beforeLines="0" w:afterLines="0" w:line="240" w:lineRule="auto"/>
              <w:rPr>
                <w:rFonts w:ascii="Times New Roman" w:eastAsiaTheme="minorEastAsia"/>
                <w:snapToGrid w:val="0"/>
                <w:kern w:val="21"/>
                <w:szCs w:val="21"/>
              </w:rPr>
            </w:pPr>
            <w:r>
              <w:rPr>
                <w:rFonts w:ascii="Times New Roman" w:eastAsiaTheme="minorEastAsia"/>
                <w:snapToGrid w:val="0"/>
                <w:kern w:val="21"/>
                <w:szCs w:val="21"/>
              </w:rPr>
              <w:t>危险废物</w:t>
            </w:r>
          </w:p>
        </w:tc>
        <w:tc>
          <w:tcPr>
            <w:tcW w:w="1417" w:type="dxa"/>
            <w:vAlign w:val="center"/>
          </w:tcPr>
          <w:p>
            <w:pPr>
              <w:pStyle w:val="41"/>
              <w:spacing w:beforeLines="0" w:afterLines="0" w:line="240" w:lineRule="auto"/>
              <w:rPr>
                <w:rFonts w:ascii="Times New Roman" w:eastAsiaTheme="minorEastAsia"/>
                <w:snapToGrid w:val="0"/>
                <w:kern w:val="21"/>
                <w:szCs w:val="21"/>
              </w:rPr>
            </w:pPr>
            <w:r>
              <w:rPr>
                <w:rFonts w:ascii="Times New Roman" w:eastAsiaTheme="minorEastAsia"/>
                <w:snapToGrid w:val="0"/>
                <w:kern w:val="21"/>
                <w:szCs w:val="21"/>
              </w:rPr>
              <w:t>废机油</w:t>
            </w:r>
          </w:p>
        </w:tc>
        <w:tc>
          <w:tcPr>
            <w:tcW w:w="1701" w:type="dxa"/>
            <w:vAlign w:val="center"/>
          </w:tcPr>
          <w:p>
            <w:pPr>
              <w:pStyle w:val="41"/>
              <w:spacing w:beforeLines="0" w:afterLines="0" w:line="240" w:lineRule="auto"/>
              <w:rPr>
                <w:rFonts w:ascii="Times New Roman" w:eastAsiaTheme="minorEastAsia"/>
                <w:snapToGrid w:val="0"/>
                <w:kern w:val="21"/>
                <w:szCs w:val="21"/>
              </w:rPr>
            </w:pPr>
          </w:p>
        </w:tc>
        <w:tc>
          <w:tcPr>
            <w:tcW w:w="1276" w:type="dxa"/>
            <w:vAlign w:val="center"/>
          </w:tcPr>
          <w:p>
            <w:pPr>
              <w:pStyle w:val="41"/>
              <w:spacing w:beforeLines="0" w:afterLines="0" w:line="240" w:lineRule="auto"/>
              <w:rPr>
                <w:rFonts w:ascii="Times New Roman" w:eastAsiaTheme="minorEastAsia"/>
                <w:snapToGrid w:val="0"/>
                <w:kern w:val="21"/>
                <w:szCs w:val="21"/>
              </w:rPr>
            </w:pPr>
          </w:p>
        </w:tc>
        <w:tc>
          <w:tcPr>
            <w:tcW w:w="1701" w:type="dxa"/>
            <w:vAlign w:val="center"/>
          </w:tcPr>
          <w:p>
            <w:pPr>
              <w:pStyle w:val="41"/>
              <w:spacing w:beforeLines="0" w:afterLines="0" w:line="240" w:lineRule="auto"/>
              <w:rPr>
                <w:rFonts w:ascii="Times New Roman" w:eastAsiaTheme="minorEastAsia"/>
                <w:snapToGrid w:val="0"/>
                <w:kern w:val="21"/>
                <w:szCs w:val="21"/>
              </w:rPr>
            </w:pPr>
          </w:p>
        </w:tc>
        <w:tc>
          <w:tcPr>
            <w:tcW w:w="1559" w:type="dxa"/>
            <w:vAlign w:val="center"/>
          </w:tcPr>
          <w:p>
            <w:pPr>
              <w:pStyle w:val="41"/>
              <w:spacing w:beforeLines="0" w:afterLines="0" w:line="240" w:lineRule="auto"/>
              <w:rPr>
                <w:rFonts w:ascii="Times New Roman" w:eastAsiaTheme="minorEastAsia"/>
                <w:snapToGrid w:val="0"/>
                <w:kern w:val="21"/>
                <w:szCs w:val="21"/>
              </w:rPr>
            </w:pPr>
          </w:p>
        </w:tc>
        <w:tc>
          <w:tcPr>
            <w:tcW w:w="1559" w:type="dxa"/>
            <w:vAlign w:val="center"/>
          </w:tcPr>
          <w:p>
            <w:pPr>
              <w:pStyle w:val="41"/>
              <w:spacing w:beforeLines="0" w:afterLines="0" w:line="240" w:lineRule="auto"/>
              <w:rPr>
                <w:rFonts w:ascii="Times New Roman" w:eastAsiaTheme="minorEastAsia"/>
                <w:snapToGrid w:val="0"/>
                <w:kern w:val="21"/>
                <w:szCs w:val="21"/>
              </w:rPr>
            </w:pPr>
          </w:p>
        </w:tc>
        <w:tc>
          <w:tcPr>
            <w:tcW w:w="1843" w:type="dxa"/>
            <w:vAlign w:val="center"/>
          </w:tcPr>
          <w:p>
            <w:pPr>
              <w:pStyle w:val="41"/>
              <w:spacing w:beforeLines="0" w:afterLines="0" w:line="240" w:lineRule="auto"/>
              <w:rPr>
                <w:rFonts w:ascii="Times New Roman" w:eastAsiaTheme="minorEastAsia"/>
                <w:snapToGrid w:val="0"/>
                <w:kern w:val="21"/>
                <w:szCs w:val="21"/>
              </w:rPr>
            </w:pPr>
          </w:p>
        </w:tc>
        <w:tc>
          <w:tcPr>
            <w:tcW w:w="1144" w:type="dxa"/>
            <w:vAlign w:val="center"/>
          </w:tcPr>
          <w:p>
            <w:pPr>
              <w:pStyle w:val="41"/>
              <w:spacing w:beforeLines="0" w:afterLines="0" w:line="240" w:lineRule="auto"/>
              <w:rPr>
                <w:rFonts w:ascii="Times New Roman" w:eastAsiaTheme="minorEastAsia"/>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41"/>
              <w:spacing w:beforeLines="0" w:afterLines="0" w:line="240" w:lineRule="auto"/>
              <w:rPr>
                <w:rFonts w:ascii="Times New Roman" w:eastAsiaTheme="minorEastAsia"/>
                <w:snapToGrid w:val="0"/>
                <w:kern w:val="21"/>
                <w:szCs w:val="21"/>
              </w:rPr>
            </w:pPr>
          </w:p>
        </w:tc>
        <w:tc>
          <w:tcPr>
            <w:tcW w:w="1417" w:type="dxa"/>
            <w:vAlign w:val="center"/>
          </w:tcPr>
          <w:p>
            <w:pPr>
              <w:pStyle w:val="41"/>
              <w:spacing w:beforeLines="0" w:afterLines="0" w:line="240" w:lineRule="auto"/>
              <w:rPr>
                <w:rFonts w:ascii="Times New Roman" w:eastAsiaTheme="minorEastAsia"/>
                <w:snapToGrid w:val="0"/>
                <w:kern w:val="21"/>
                <w:szCs w:val="21"/>
              </w:rPr>
            </w:pPr>
            <w:r>
              <w:rPr>
                <w:rFonts w:ascii="Times New Roman" w:eastAsiaTheme="minorEastAsia"/>
                <w:snapToGrid w:val="0"/>
                <w:kern w:val="21"/>
                <w:szCs w:val="21"/>
              </w:rPr>
              <w:t>实验室废物</w:t>
            </w:r>
          </w:p>
        </w:tc>
        <w:tc>
          <w:tcPr>
            <w:tcW w:w="1701" w:type="dxa"/>
            <w:vAlign w:val="center"/>
          </w:tcPr>
          <w:p>
            <w:pPr>
              <w:pStyle w:val="41"/>
              <w:spacing w:beforeLines="0" w:afterLines="0" w:line="240" w:lineRule="auto"/>
              <w:rPr>
                <w:rFonts w:ascii="Times New Roman" w:eastAsiaTheme="minorEastAsia"/>
                <w:snapToGrid w:val="0"/>
                <w:kern w:val="21"/>
                <w:szCs w:val="21"/>
              </w:rPr>
            </w:pPr>
          </w:p>
        </w:tc>
        <w:tc>
          <w:tcPr>
            <w:tcW w:w="1276" w:type="dxa"/>
            <w:vAlign w:val="center"/>
          </w:tcPr>
          <w:p>
            <w:pPr>
              <w:pStyle w:val="41"/>
              <w:spacing w:beforeLines="0" w:afterLines="0" w:line="240" w:lineRule="auto"/>
              <w:rPr>
                <w:rFonts w:ascii="Times New Roman" w:eastAsiaTheme="minorEastAsia"/>
                <w:snapToGrid w:val="0"/>
                <w:kern w:val="21"/>
                <w:szCs w:val="21"/>
              </w:rPr>
            </w:pPr>
          </w:p>
        </w:tc>
        <w:tc>
          <w:tcPr>
            <w:tcW w:w="1701" w:type="dxa"/>
            <w:vAlign w:val="center"/>
          </w:tcPr>
          <w:p>
            <w:pPr>
              <w:pStyle w:val="41"/>
              <w:spacing w:beforeLines="0" w:afterLines="0" w:line="240" w:lineRule="auto"/>
              <w:rPr>
                <w:rFonts w:ascii="Times New Roman" w:eastAsiaTheme="minorEastAsia"/>
                <w:snapToGrid w:val="0"/>
                <w:kern w:val="21"/>
                <w:szCs w:val="21"/>
              </w:rPr>
            </w:pPr>
          </w:p>
        </w:tc>
        <w:tc>
          <w:tcPr>
            <w:tcW w:w="1559" w:type="dxa"/>
            <w:vAlign w:val="center"/>
          </w:tcPr>
          <w:p>
            <w:pPr>
              <w:pStyle w:val="41"/>
              <w:spacing w:beforeLines="0" w:afterLines="0" w:line="240" w:lineRule="auto"/>
              <w:rPr>
                <w:rFonts w:ascii="Times New Roman" w:eastAsiaTheme="minorEastAsia"/>
                <w:snapToGrid w:val="0"/>
                <w:kern w:val="21"/>
                <w:szCs w:val="21"/>
              </w:rPr>
            </w:pPr>
          </w:p>
        </w:tc>
        <w:tc>
          <w:tcPr>
            <w:tcW w:w="1559" w:type="dxa"/>
            <w:vAlign w:val="center"/>
          </w:tcPr>
          <w:p>
            <w:pPr>
              <w:pStyle w:val="41"/>
              <w:spacing w:beforeLines="0" w:afterLines="0" w:line="240" w:lineRule="auto"/>
              <w:rPr>
                <w:rFonts w:ascii="Times New Roman" w:eastAsiaTheme="minorEastAsia"/>
                <w:snapToGrid w:val="0"/>
                <w:kern w:val="21"/>
                <w:szCs w:val="21"/>
              </w:rPr>
            </w:pPr>
          </w:p>
        </w:tc>
        <w:tc>
          <w:tcPr>
            <w:tcW w:w="1843" w:type="dxa"/>
            <w:vAlign w:val="center"/>
          </w:tcPr>
          <w:p>
            <w:pPr>
              <w:pStyle w:val="41"/>
              <w:spacing w:beforeLines="0" w:afterLines="0" w:line="240" w:lineRule="auto"/>
              <w:rPr>
                <w:rFonts w:ascii="Times New Roman" w:eastAsiaTheme="minorEastAsia"/>
                <w:snapToGrid w:val="0"/>
                <w:kern w:val="21"/>
                <w:szCs w:val="21"/>
              </w:rPr>
            </w:pPr>
          </w:p>
        </w:tc>
        <w:tc>
          <w:tcPr>
            <w:tcW w:w="1144" w:type="dxa"/>
            <w:vAlign w:val="center"/>
          </w:tcPr>
          <w:p>
            <w:pPr>
              <w:pStyle w:val="41"/>
              <w:spacing w:beforeLines="0" w:afterLines="0" w:line="240" w:lineRule="auto"/>
              <w:rPr>
                <w:rFonts w:ascii="Times New Roman" w:eastAsiaTheme="minorEastAsia"/>
                <w:snapToGrid w:val="0"/>
                <w:kern w:val="21"/>
                <w:szCs w:val="21"/>
              </w:rPr>
            </w:pPr>
          </w:p>
        </w:tc>
      </w:tr>
    </w:tbl>
    <w:p>
      <w:pPr>
        <w:pStyle w:val="41"/>
        <w:spacing w:beforeLines="80" w:after="24"/>
        <w:ind w:firstLine="420"/>
        <w:jc w:val="left"/>
        <w:rPr>
          <w:rFonts w:ascii="Times New Roman" w:eastAsiaTheme="minorEastAsia"/>
          <w:snapToGrid w:val="0"/>
          <w:spacing w:val="-6"/>
          <w:kern w:val="21"/>
          <w:szCs w:val="21"/>
        </w:rPr>
      </w:pPr>
      <w:r>
        <w:rPr>
          <w:rFonts w:ascii="Times New Roman" w:eastAsiaTheme="minorEastAsia"/>
          <w:snapToGrid w:val="0"/>
          <w:kern w:val="21"/>
          <w:szCs w:val="21"/>
        </w:rPr>
        <w:t>注：</w:t>
      </w:r>
      <w:r>
        <w:rPr>
          <w:rFonts w:ascii="Times New Roman" w:eastAsiaTheme="minorEastAsia"/>
          <w:snapToGrid w:val="0"/>
          <w:spacing w:val="-16"/>
          <w:kern w:val="21"/>
          <w:szCs w:val="21"/>
        </w:rPr>
        <w:fldChar w:fldCharType="begin"/>
      </w:r>
      <w:r>
        <w:rPr>
          <w:rFonts w:ascii="Times New Roman" w:eastAsiaTheme="minorEastAsia"/>
          <w:snapToGrid w:val="0"/>
          <w:spacing w:val="-16"/>
          <w:kern w:val="21"/>
          <w:szCs w:val="21"/>
        </w:rPr>
        <w:instrText xml:space="preserve"> = 6 \* GB3 \* MERGEFORMAT </w:instrText>
      </w:r>
      <w:r>
        <w:rPr>
          <w:rFonts w:ascii="Times New Roman" w:eastAsiaTheme="minorEastAsia"/>
          <w:snapToGrid w:val="0"/>
          <w:spacing w:val="-16"/>
          <w:kern w:val="21"/>
          <w:szCs w:val="21"/>
        </w:rPr>
        <w:fldChar w:fldCharType="separate"/>
      </w:r>
      <w:r>
        <w:rPr>
          <w:rFonts w:ascii="Times New Roman"/>
          <w:szCs w:val="21"/>
        </w:rPr>
        <w:t>⑥</w:t>
      </w:r>
      <w:r>
        <w:rPr>
          <w:rFonts w:ascii="Times New Roman" w:eastAsiaTheme="minorEastAsia"/>
          <w:snapToGrid w:val="0"/>
          <w:spacing w:val="-16"/>
          <w:kern w:val="21"/>
          <w:szCs w:val="21"/>
        </w:rPr>
        <w:fldChar w:fldCharType="end"/>
      </w:r>
      <w:r>
        <w:rPr>
          <w:rFonts w:ascii="Times New Roman" w:eastAsiaTheme="minorEastAsia"/>
          <w:snapToGrid w:val="0"/>
          <w:spacing w:val="-16"/>
          <w:kern w:val="21"/>
          <w:szCs w:val="21"/>
        </w:rPr>
        <w:t>=</w:t>
      </w:r>
      <w:r>
        <w:rPr>
          <w:rFonts w:ascii="Times New Roman" w:eastAsiaTheme="minorEastAsia"/>
          <w:snapToGrid w:val="0"/>
          <w:spacing w:val="-6"/>
          <w:kern w:val="21"/>
          <w:szCs w:val="21"/>
        </w:rPr>
        <w:fldChar w:fldCharType="begin"/>
      </w:r>
      <w:r>
        <w:rPr>
          <w:rFonts w:ascii="Times New Roman" w:eastAsiaTheme="minorEastAsia"/>
          <w:snapToGrid w:val="0"/>
          <w:spacing w:val="-6"/>
          <w:kern w:val="21"/>
          <w:szCs w:val="21"/>
        </w:rPr>
        <w:instrText xml:space="preserve"> = 1 \* GB3 \* MERGEFORMAT </w:instrText>
      </w:r>
      <w:r>
        <w:rPr>
          <w:rFonts w:ascii="Times New Roman" w:eastAsiaTheme="minorEastAsia"/>
          <w:snapToGrid w:val="0"/>
          <w:spacing w:val="-6"/>
          <w:kern w:val="21"/>
          <w:szCs w:val="21"/>
        </w:rPr>
        <w:fldChar w:fldCharType="separate"/>
      </w:r>
      <w:r>
        <w:rPr>
          <w:rFonts w:ascii="Times New Roman"/>
          <w:szCs w:val="21"/>
        </w:rPr>
        <w:t>①</w:t>
      </w:r>
      <w:r>
        <w:rPr>
          <w:rFonts w:ascii="Times New Roman" w:eastAsiaTheme="minorEastAsia"/>
          <w:snapToGrid w:val="0"/>
          <w:spacing w:val="-6"/>
          <w:kern w:val="21"/>
          <w:szCs w:val="21"/>
        </w:rPr>
        <w:fldChar w:fldCharType="end"/>
      </w:r>
      <w:r>
        <w:rPr>
          <w:rFonts w:ascii="Times New Roman" w:eastAsiaTheme="minorEastAsia"/>
          <w:snapToGrid w:val="0"/>
          <w:spacing w:val="-6"/>
          <w:kern w:val="21"/>
          <w:szCs w:val="21"/>
        </w:rPr>
        <w:t>+</w:t>
      </w:r>
      <w:r>
        <w:rPr>
          <w:rFonts w:ascii="Times New Roman" w:eastAsiaTheme="minorEastAsia"/>
          <w:snapToGrid w:val="0"/>
          <w:spacing w:val="-6"/>
          <w:kern w:val="21"/>
          <w:szCs w:val="21"/>
        </w:rPr>
        <w:fldChar w:fldCharType="begin"/>
      </w:r>
      <w:r>
        <w:rPr>
          <w:rFonts w:ascii="Times New Roman" w:eastAsiaTheme="minorEastAsia"/>
          <w:snapToGrid w:val="0"/>
          <w:spacing w:val="-6"/>
          <w:kern w:val="21"/>
          <w:szCs w:val="21"/>
        </w:rPr>
        <w:instrText xml:space="preserve"> = 3 \* GB3 \* MERGEFORMAT </w:instrText>
      </w:r>
      <w:r>
        <w:rPr>
          <w:rFonts w:ascii="Times New Roman" w:eastAsiaTheme="minorEastAsia"/>
          <w:snapToGrid w:val="0"/>
          <w:spacing w:val="-6"/>
          <w:kern w:val="21"/>
          <w:szCs w:val="21"/>
        </w:rPr>
        <w:fldChar w:fldCharType="separate"/>
      </w:r>
      <w:r>
        <w:rPr>
          <w:rFonts w:ascii="Times New Roman"/>
          <w:szCs w:val="21"/>
        </w:rPr>
        <w:t>③</w:t>
      </w:r>
      <w:r>
        <w:rPr>
          <w:rFonts w:ascii="Times New Roman" w:eastAsiaTheme="minorEastAsia"/>
          <w:snapToGrid w:val="0"/>
          <w:spacing w:val="-6"/>
          <w:kern w:val="21"/>
          <w:szCs w:val="21"/>
        </w:rPr>
        <w:fldChar w:fldCharType="end"/>
      </w:r>
      <w:r>
        <w:rPr>
          <w:rFonts w:ascii="Times New Roman" w:eastAsiaTheme="minorEastAsia"/>
          <w:snapToGrid w:val="0"/>
          <w:spacing w:val="-6"/>
          <w:kern w:val="21"/>
          <w:szCs w:val="21"/>
        </w:rPr>
        <w:t>+</w:t>
      </w:r>
      <w:r>
        <w:rPr>
          <w:rFonts w:ascii="Times New Roman" w:eastAsiaTheme="minorEastAsia"/>
          <w:snapToGrid w:val="0"/>
          <w:spacing w:val="-6"/>
          <w:kern w:val="21"/>
          <w:szCs w:val="21"/>
        </w:rPr>
        <w:fldChar w:fldCharType="begin"/>
      </w:r>
      <w:r>
        <w:rPr>
          <w:rFonts w:ascii="Times New Roman" w:eastAsiaTheme="minorEastAsia"/>
          <w:snapToGrid w:val="0"/>
          <w:spacing w:val="-6"/>
          <w:kern w:val="21"/>
          <w:szCs w:val="21"/>
        </w:rPr>
        <w:instrText xml:space="preserve"> = 4 \* GB3 \* MERGEFORMAT </w:instrText>
      </w:r>
      <w:r>
        <w:rPr>
          <w:rFonts w:ascii="Times New Roman" w:eastAsiaTheme="minorEastAsia"/>
          <w:snapToGrid w:val="0"/>
          <w:spacing w:val="-6"/>
          <w:kern w:val="21"/>
          <w:szCs w:val="21"/>
        </w:rPr>
        <w:fldChar w:fldCharType="separate"/>
      </w:r>
      <w:r>
        <w:rPr>
          <w:rFonts w:ascii="Times New Roman"/>
          <w:szCs w:val="21"/>
        </w:rPr>
        <w:t>④</w:t>
      </w:r>
      <w:r>
        <w:rPr>
          <w:rFonts w:ascii="Times New Roman" w:eastAsiaTheme="minorEastAsia"/>
          <w:snapToGrid w:val="0"/>
          <w:spacing w:val="-6"/>
          <w:kern w:val="21"/>
          <w:szCs w:val="21"/>
        </w:rPr>
        <w:fldChar w:fldCharType="end"/>
      </w:r>
      <w:r>
        <w:rPr>
          <w:rFonts w:ascii="Times New Roman" w:eastAsiaTheme="minorEastAsia"/>
          <w:snapToGrid w:val="0"/>
          <w:spacing w:val="-6"/>
          <w:kern w:val="21"/>
          <w:szCs w:val="21"/>
        </w:rPr>
        <w:t>-</w:t>
      </w:r>
      <w:r>
        <w:rPr>
          <w:rFonts w:ascii="Times New Roman" w:eastAsiaTheme="minorEastAsia"/>
          <w:snapToGrid w:val="0"/>
          <w:spacing w:val="-16"/>
          <w:kern w:val="21"/>
          <w:szCs w:val="21"/>
        </w:rPr>
        <w:fldChar w:fldCharType="begin"/>
      </w:r>
      <w:r>
        <w:rPr>
          <w:rFonts w:ascii="Times New Roman" w:eastAsiaTheme="minorEastAsia"/>
          <w:snapToGrid w:val="0"/>
          <w:spacing w:val="-16"/>
          <w:kern w:val="21"/>
          <w:szCs w:val="21"/>
        </w:rPr>
        <w:instrText xml:space="preserve"> = 5 \* GB3 \* MERGEFORMAT </w:instrText>
      </w:r>
      <w:r>
        <w:rPr>
          <w:rFonts w:ascii="Times New Roman" w:eastAsiaTheme="minorEastAsia"/>
          <w:snapToGrid w:val="0"/>
          <w:spacing w:val="-16"/>
          <w:kern w:val="21"/>
          <w:szCs w:val="21"/>
        </w:rPr>
        <w:fldChar w:fldCharType="separate"/>
      </w:r>
      <w:r>
        <w:rPr>
          <w:rFonts w:ascii="Times New Roman"/>
          <w:szCs w:val="21"/>
        </w:rPr>
        <w:t>⑤</w:t>
      </w:r>
      <w:r>
        <w:rPr>
          <w:rFonts w:ascii="Times New Roman" w:eastAsiaTheme="minorEastAsia"/>
          <w:snapToGrid w:val="0"/>
          <w:spacing w:val="-16"/>
          <w:kern w:val="21"/>
          <w:szCs w:val="21"/>
        </w:rPr>
        <w:fldChar w:fldCharType="end"/>
      </w:r>
      <w:r>
        <w:rPr>
          <w:rFonts w:ascii="Times New Roman" w:eastAsiaTheme="minorEastAsia"/>
          <w:snapToGrid w:val="0"/>
          <w:spacing w:val="-16"/>
          <w:kern w:val="21"/>
          <w:szCs w:val="21"/>
        </w:rPr>
        <w:t>；</w:t>
      </w:r>
      <w:r>
        <w:rPr>
          <w:rFonts w:ascii="Times New Roman" w:eastAsiaTheme="minorEastAsia"/>
          <w:snapToGrid w:val="0"/>
          <w:spacing w:val="-6"/>
          <w:kern w:val="21"/>
          <w:szCs w:val="21"/>
        </w:rPr>
        <w:fldChar w:fldCharType="begin"/>
      </w:r>
      <w:r>
        <w:rPr>
          <w:rFonts w:ascii="Times New Roman" w:eastAsiaTheme="minorEastAsia"/>
          <w:snapToGrid w:val="0"/>
          <w:spacing w:val="-6"/>
          <w:kern w:val="21"/>
          <w:szCs w:val="21"/>
        </w:rPr>
        <w:instrText xml:space="preserve"> = 7 \* GB3 \* MERGEFORMAT </w:instrText>
      </w:r>
      <w:r>
        <w:rPr>
          <w:rFonts w:ascii="Times New Roman" w:eastAsiaTheme="minorEastAsia"/>
          <w:snapToGrid w:val="0"/>
          <w:spacing w:val="-6"/>
          <w:kern w:val="21"/>
          <w:szCs w:val="21"/>
        </w:rPr>
        <w:fldChar w:fldCharType="separate"/>
      </w:r>
      <w:r>
        <w:rPr>
          <w:rFonts w:ascii="Times New Roman"/>
          <w:szCs w:val="21"/>
        </w:rPr>
        <w:t>⑦</w:t>
      </w:r>
      <w:r>
        <w:rPr>
          <w:rFonts w:ascii="Times New Roman" w:eastAsiaTheme="minorEastAsia"/>
          <w:snapToGrid w:val="0"/>
          <w:spacing w:val="-6"/>
          <w:kern w:val="21"/>
          <w:szCs w:val="21"/>
        </w:rPr>
        <w:fldChar w:fldCharType="end"/>
      </w:r>
      <w:r>
        <w:rPr>
          <w:rFonts w:ascii="Times New Roman" w:eastAsiaTheme="minorEastAsia"/>
          <w:snapToGrid w:val="0"/>
          <w:spacing w:val="-6"/>
          <w:kern w:val="21"/>
          <w:szCs w:val="21"/>
        </w:rPr>
        <w:t>=</w:t>
      </w:r>
      <w:r>
        <w:rPr>
          <w:rFonts w:ascii="Times New Roman" w:eastAsiaTheme="minorEastAsia"/>
          <w:snapToGrid w:val="0"/>
          <w:spacing w:val="-16"/>
          <w:kern w:val="21"/>
          <w:szCs w:val="21"/>
        </w:rPr>
        <w:fldChar w:fldCharType="begin"/>
      </w:r>
      <w:r>
        <w:rPr>
          <w:rFonts w:ascii="Times New Roman" w:eastAsiaTheme="minorEastAsia"/>
          <w:snapToGrid w:val="0"/>
          <w:spacing w:val="-16"/>
          <w:kern w:val="21"/>
          <w:szCs w:val="21"/>
        </w:rPr>
        <w:instrText xml:space="preserve"> = 6 \* GB3 \* MERGEFORMAT </w:instrText>
      </w:r>
      <w:r>
        <w:rPr>
          <w:rFonts w:ascii="Times New Roman" w:eastAsiaTheme="minorEastAsia"/>
          <w:snapToGrid w:val="0"/>
          <w:spacing w:val="-16"/>
          <w:kern w:val="21"/>
          <w:szCs w:val="21"/>
        </w:rPr>
        <w:fldChar w:fldCharType="separate"/>
      </w:r>
      <w:r>
        <w:rPr>
          <w:rFonts w:ascii="Times New Roman"/>
          <w:szCs w:val="21"/>
        </w:rPr>
        <w:t>⑥</w:t>
      </w:r>
      <w:r>
        <w:rPr>
          <w:rFonts w:ascii="Times New Roman" w:eastAsiaTheme="minorEastAsia"/>
          <w:snapToGrid w:val="0"/>
          <w:spacing w:val="-16"/>
          <w:kern w:val="21"/>
          <w:szCs w:val="21"/>
        </w:rPr>
        <w:fldChar w:fldCharType="end"/>
      </w:r>
      <w:r>
        <w:rPr>
          <w:rFonts w:ascii="Times New Roman" w:eastAsiaTheme="minorEastAsia"/>
          <w:snapToGrid w:val="0"/>
          <w:spacing w:val="-16"/>
          <w:kern w:val="21"/>
          <w:szCs w:val="21"/>
        </w:rPr>
        <w:t>-</w:t>
      </w:r>
      <w:r>
        <w:rPr>
          <w:rFonts w:ascii="Times New Roman" w:eastAsiaTheme="minorEastAsia"/>
          <w:snapToGrid w:val="0"/>
          <w:spacing w:val="-6"/>
          <w:kern w:val="21"/>
          <w:szCs w:val="21"/>
        </w:rPr>
        <w:fldChar w:fldCharType="begin"/>
      </w:r>
      <w:r>
        <w:rPr>
          <w:rFonts w:ascii="Times New Roman" w:eastAsiaTheme="minorEastAsia"/>
          <w:snapToGrid w:val="0"/>
          <w:spacing w:val="-6"/>
          <w:kern w:val="21"/>
          <w:szCs w:val="21"/>
        </w:rPr>
        <w:instrText xml:space="preserve"> = 1 \* GB3 \* MERGEFORMAT </w:instrText>
      </w:r>
      <w:r>
        <w:rPr>
          <w:rFonts w:ascii="Times New Roman" w:eastAsiaTheme="minorEastAsia"/>
          <w:snapToGrid w:val="0"/>
          <w:spacing w:val="-6"/>
          <w:kern w:val="21"/>
          <w:szCs w:val="21"/>
        </w:rPr>
        <w:fldChar w:fldCharType="separate"/>
      </w:r>
      <w:r>
        <w:rPr>
          <w:rFonts w:ascii="Times New Roman"/>
          <w:szCs w:val="21"/>
        </w:rPr>
        <w:t>①</w:t>
      </w:r>
      <w:r>
        <w:rPr>
          <w:rFonts w:ascii="Times New Roman" w:eastAsiaTheme="minorEastAsia"/>
          <w:snapToGrid w:val="0"/>
          <w:spacing w:val="-6"/>
          <w:kern w:val="21"/>
          <w:szCs w:val="21"/>
        </w:rPr>
        <w:fldChar w:fldCharType="end"/>
      </w:r>
    </w:p>
    <w:p>
      <w:pPr>
        <w:ind w:firstLine="420"/>
        <w:rPr>
          <w:rFonts w:eastAsiaTheme="minorEastAsia"/>
        </w:rPr>
        <w:sectPr>
          <w:footerReference r:id="rId8" w:type="default"/>
          <w:pgSz w:w="16838" w:h="11906" w:orient="landscape"/>
          <w:pgMar w:top="1701" w:right="1531" w:bottom="1701" w:left="1531" w:header="851" w:footer="851" w:gutter="0"/>
          <w:cols w:space="720" w:num="1"/>
          <w:docGrid w:linePitch="312" w:charSpace="0"/>
        </w:sectPr>
      </w:pPr>
    </w:p>
    <w:p>
      <w:pPr>
        <w:adjustRightInd w:val="0"/>
        <w:snapToGrid w:val="0"/>
        <w:spacing w:beforeLines="80"/>
        <w:rPr>
          <w:rFonts w:eastAsiaTheme="minorEastAsia"/>
          <w:szCs w:val="21"/>
        </w:rPr>
      </w:pPr>
      <w:r>
        <w:rPr>
          <w:rFonts w:eastAsiaTheme="minorEastAsia"/>
          <w:szCs w:val="21"/>
        </w:rPr>
        <w:t>附图1：项目地理位置图</w:t>
      </w:r>
    </w:p>
    <w:p>
      <w:pPr>
        <w:adjustRightInd w:val="0"/>
        <w:snapToGrid w:val="0"/>
        <w:spacing w:beforeLines="80"/>
        <w:jc w:val="center"/>
        <w:rPr>
          <w:rFonts w:eastAsiaTheme="minorEastAsia"/>
          <w:szCs w:val="21"/>
        </w:rPr>
      </w:pPr>
      <w:r>
        <w:rPr>
          <w:rFonts w:eastAsiaTheme="minorEastAsia"/>
          <w:szCs w:val="21"/>
        </w:rPr>
        <mc:AlternateContent>
          <mc:Choice Requires="wps">
            <w:drawing>
              <wp:anchor distT="0" distB="0" distL="114300" distR="114300" simplePos="0" relativeHeight="251660288" behindDoc="0" locked="0" layoutInCell="1" allowOverlap="1">
                <wp:simplePos x="0" y="0"/>
                <wp:positionH relativeFrom="column">
                  <wp:posOffset>5259705</wp:posOffset>
                </wp:positionH>
                <wp:positionV relativeFrom="paragraph">
                  <wp:posOffset>3116580</wp:posOffset>
                </wp:positionV>
                <wp:extent cx="90805" cy="90805"/>
                <wp:effectExtent l="4445" t="4445" r="11430" b="11430"/>
                <wp:wrapNone/>
                <wp:docPr id="13" name="椭圆 15"/>
                <wp:cNvGraphicFramePr/>
                <a:graphic xmlns:a="http://schemas.openxmlformats.org/drawingml/2006/main">
                  <a:graphicData uri="http://schemas.microsoft.com/office/word/2010/wordprocessingShape">
                    <wps:wsp>
                      <wps:cNvSpPr/>
                      <wps:spPr>
                        <a:xfrm>
                          <a:off x="0" y="0"/>
                          <a:ext cx="90805" cy="90805"/>
                        </a:xfrm>
                        <a:prstGeom prst="ellipse">
                          <a:avLst/>
                        </a:prstGeom>
                        <a:solidFill>
                          <a:srgbClr val="FFFFFF"/>
                        </a:solidFill>
                        <a:ln w="9525" cap="flat" cmpd="sng">
                          <a:solidFill>
                            <a:srgbClr val="000000"/>
                          </a:solidFill>
                          <a:prstDash val="solid"/>
                          <a:headEnd type="none" w="med" len="med"/>
                          <a:tailEnd type="none" w="med" len="med"/>
                        </a:ln>
                      </wps:spPr>
                      <wps:bodyPr upright="1"/>
                    </wps:wsp>
                  </a:graphicData>
                </a:graphic>
              </wp:anchor>
            </w:drawing>
          </mc:Choice>
          <mc:Fallback>
            <w:pict>
              <v:shape id="椭圆 15" o:spid="_x0000_s1026" o:spt="3" type="#_x0000_t3" style="position:absolute;left:0pt;margin-left:414.15pt;margin-top:245.4pt;height:7.15pt;width:7.15pt;z-index:251660288;mso-width-relative:page;mso-height-relative:page;" fillcolor="#FFFFFF" filled="t" stroked="t" coordsize="21600,21600" o:gfxdata="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ZpU8Z2QAAAAsBAAAPAAAAAAAAAAEAIAAAACIAAABkcnMvZG93bnJldi54bWxQSwEC&#10;FAAUAAAACACHTuJAX6xvyvMBAAAWBAAADgAAAAAAAAABACAAAAAoAQAAZHJzL2Uyb0RvYy54bWxQ&#10;SwUGAAAAAAYABgBZAQAAjQUAAAAA&#10;">
                <v:fill on="t" focussize="0,0"/>
                <v:stroke color="#000000" joinstyle="round"/>
                <v:imagedata o:title=""/>
                <o:lock v:ext="edit" aspectratio="f"/>
              </v:shape>
            </w:pict>
          </mc:Fallback>
        </mc:AlternateContent>
      </w:r>
      <w:r>
        <w:rPr>
          <w:rFonts w:eastAsiaTheme="minorEastAsia"/>
          <w:szCs w:val="21"/>
        </w:rPr>
        <mc:AlternateContent>
          <mc:Choice Requires="wps">
            <w:drawing>
              <wp:anchor distT="0" distB="0" distL="114300" distR="114300" simplePos="0" relativeHeight="251661312" behindDoc="0" locked="0" layoutInCell="1" allowOverlap="1">
                <wp:simplePos x="0" y="0"/>
                <wp:positionH relativeFrom="column">
                  <wp:posOffset>5667375</wp:posOffset>
                </wp:positionH>
                <wp:positionV relativeFrom="paragraph">
                  <wp:posOffset>2877185</wp:posOffset>
                </wp:positionV>
                <wp:extent cx="640080" cy="239395"/>
                <wp:effectExtent l="367665" t="5080" r="13335" b="60325"/>
                <wp:wrapNone/>
                <wp:docPr id="14" name="自选图形 16"/>
                <wp:cNvGraphicFramePr/>
                <a:graphic xmlns:a="http://schemas.openxmlformats.org/drawingml/2006/main">
                  <a:graphicData uri="http://schemas.microsoft.com/office/word/2010/wordprocessingShape">
                    <wps:wsp>
                      <wps:cNvSpPr/>
                      <wps:spPr>
                        <a:xfrm>
                          <a:off x="0" y="0"/>
                          <a:ext cx="640080" cy="239395"/>
                        </a:xfrm>
                        <a:prstGeom prst="wedgeRectCallout">
                          <a:avLst>
                            <a:gd name="adj1" fmla="val -101685"/>
                            <a:gd name="adj2" fmla="val 65120"/>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本项目</w:t>
                            </w:r>
                          </w:p>
                        </w:txbxContent>
                      </wps:txbx>
                      <wps:bodyPr upright="1"/>
                    </wps:wsp>
                  </a:graphicData>
                </a:graphic>
              </wp:anchor>
            </w:drawing>
          </mc:Choice>
          <mc:Fallback>
            <w:pict>
              <v:shape id="自选图形 16" o:spid="_x0000_s1026" o:spt="61" type="#_x0000_t61" style="position:absolute;left:0pt;margin-left:446.25pt;margin-top:226.55pt;height:18.85pt;width:50.4pt;z-index:251661312;mso-width-relative:page;mso-height-relative:page;" fillcolor="#FFFFFF" filled="t" stroked="t" coordsize="21600,21600" o:gfxdata="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UZfa290AAAALAQAADwAAAAAAAAABACAAAAAi&#10;AAAAZHJzL2Rvd25yZXYueG1sUEsBAhQAFAAAAAgAh07iQAKbMWs+AgAAjwQAAA4AAAAAAAAAAQAg&#10;AAAALAEAAGRycy9lMm9Eb2MueG1sUEsFBgAAAAAGAAYAWQEAANwFAAAAAA==&#10;" adj="-11164,24866">
                <v:fill on="t" focussize="0,0"/>
                <v:stroke color="#000000" joinstyle="miter"/>
                <v:imagedata o:title=""/>
                <o:lock v:ext="edit" aspectratio="f"/>
                <v:textbox>
                  <w:txbxContent>
                    <w:p>
                      <w:r>
                        <w:rPr>
                          <w:rFonts w:hint="eastAsia"/>
                        </w:rPr>
                        <w:t>本项目</w:t>
                      </w:r>
                    </w:p>
                  </w:txbxContent>
                </v:textbox>
              </v:shape>
            </w:pict>
          </mc:Fallback>
        </mc:AlternateContent>
      </w:r>
      <w:r>
        <w:rPr>
          <w:rFonts w:eastAsiaTheme="minorEastAsia"/>
          <w:szCs w:val="21"/>
        </w:rPr>
        <w:drawing>
          <wp:anchor distT="0" distB="0" distL="114300" distR="114300" simplePos="0" relativeHeight="251662336" behindDoc="0" locked="0" layoutInCell="1" allowOverlap="1">
            <wp:simplePos x="0" y="0"/>
            <wp:positionH relativeFrom="column">
              <wp:posOffset>7214235</wp:posOffset>
            </wp:positionH>
            <wp:positionV relativeFrom="paragraph">
              <wp:posOffset>120015</wp:posOffset>
            </wp:positionV>
            <wp:extent cx="590550" cy="716280"/>
            <wp:effectExtent l="19050" t="0" r="0" b="0"/>
            <wp:wrapNone/>
            <wp:docPr id="6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
                    <pic:cNvPicPr>
                      <a:picLocks noChangeAspect="1" noChangeArrowheads="1"/>
                    </pic:cNvPicPr>
                  </pic:nvPicPr>
                  <pic:blipFill>
                    <a:blip r:embed="rId14" cstate="print"/>
                    <a:srcRect/>
                    <a:stretch>
                      <a:fillRect/>
                    </a:stretch>
                  </pic:blipFill>
                  <pic:spPr>
                    <a:xfrm>
                      <a:off x="0" y="0"/>
                      <a:ext cx="590550" cy="716280"/>
                    </a:xfrm>
                    <a:prstGeom prst="rect">
                      <a:avLst/>
                    </a:prstGeom>
                    <a:noFill/>
                    <a:ln w="9525">
                      <a:noFill/>
                      <a:miter lim="800000"/>
                      <a:headEnd/>
                      <a:tailEnd/>
                    </a:ln>
                  </pic:spPr>
                </pic:pic>
              </a:graphicData>
            </a:graphic>
          </wp:anchor>
        </w:drawing>
      </w:r>
      <w:r>
        <w:rPr>
          <w:rFonts w:eastAsiaTheme="minorEastAsia"/>
          <w:szCs w:val="21"/>
        </w:rPr>
        <w:drawing>
          <wp:inline distT="0" distB="0" distL="0" distR="0">
            <wp:extent cx="7235190" cy="5115560"/>
            <wp:effectExtent l="19050" t="0" r="3810" b="0"/>
            <wp:docPr id="5" name="图片 4" descr="290-291巴彦淖尔市区域详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290-291巴彦淖尔市区域详图.jpg"/>
                    <pic:cNvPicPr>
                      <a:picLocks noChangeAspect="1"/>
                    </pic:cNvPicPr>
                  </pic:nvPicPr>
                  <pic:blipFill>
                    <a:blip r:embed="rId15" cstate="print"/>
                    <a:stretch>
                      <a:fillRect/>
                    </a:stretch>
                  </pic:blipFill>
                  <pic:spPr>
                    <a:xfrm>
                      <a:off x="0" y="0"/>
                      <a:ext cx="7239863" cy="5119481"/>
                    </a:xfrm>
                    <a:prstGeom prst="rect">
                      <a:avLst/>
                    </a:prstGeom>
                  </pic:spPr>
                </pic:pic>
              </a:graphicData>
            </a:graphic>
          </wp:inline>
        </w:drawing>
      </w:r>
    </w:p>
    <w:p>
      <w:pPr>
        <w:adjustRightInd w:val="0"/>
        <w:snapToGrid w:val="0"/>
        <w:spacing w:beforeLines="80"/>
        <w:rPr>
          <w:rFonts w:eastAsiaTheme="minorEastAsia"/>
          <w:szCs w:val="21"/>
        </w:rPr>
        <w:sectPr>
          <w:footerReference r:id="rId9" w:type="default"/>
          <w:pgSz w:w="16838" w:h="11906" w:orient="landscape"/>
          <w:pgMar w:top="1531" w:right="1701" w:bottom="1531" w:left="1701" w:header="851" w:footer="851" w:gutter="0"/>
          <w:cols w:space="720" w:num="1"/>
          <w:docGrid w:linePitch="312" w:charSpace="0"/>
        </w:sectPr>
      </w:pPr>
    </w:p>
    <w:p>
      <w:pPr>
        <w:adjustRightInd w:val="0"/>
        <w:snapToGrid w:val="0"/>
        <w:spacing w:beforeLines="80"/>
        <w:jc w:val="left"/>
        <w:rPr>
          <w:rFonts w:eastAsiaTheme="minorEastAsia"/>
          <w:szCs w:val="21"/>
        </w:rPr>
      </w:pPr>
      <w:r>
        <w:rPr>
          <w:rFonts w:eastAsiaTheme="minorEastAsia"/>
          <w:szCs w:val="21"/>
        </w:rPr>
        <w:t>附图2：本项目所属环境管控单元图</w:t>
      </w:r>
    </w:p>
    <w:p>
      <w:pPr>
        <w:adjustRightInd w:val="0"/>
        <w:snapToGrid w:val="0"/>
        <w:spacing w:beforeLines="80"/>
        <w:jc w:val="center"/>
        <w:rPr>
          <w:rFonts w:eastAsiaTheme="minorEastAsia"/>
          <w:szCs w:val="21"/>
        </w:rPr>
      </w:pPr>
      <w:r>
        <w:rPr>
          <w:rFonts w:eastAsiaTheme="minorEastAsia"/>
        </w:rPr>
        <mc:AlternateContent>
          <mc:Choice Requires="wps">
            <w:drawing>
              <wp:anchor distT="0" distB="0" distL="114300" distR="114300" simplePos="0" relativeHeight="251659264" behindDoc="0" locked="0" layoutInCell="1" allowOverlap="1">
                <wp:simplePos x="0" y="0"/>
                <wp:positionH relativeFrom="column">
                  <wp:posOffset>3264535</wp:posOffset>
                </wp:positionH>
                <wp:positionV relativeFrom="paragraph">
                  <wp:posOffset>3570605</wp:posOffset>
                </wp:positionV>
                <wp:extent cx="617220" cy="335280"/>
                <wp:effectExtent l="316865" t="502285" r="10795" b="15875"/>
                <wp:wrapNone/>
                <wp:docPr id="8" name="自选图形 10"/>
                <wp:cNvGraphicFramePr/>
                <a:graphic xmlns:a="http://schemas.openxmlformats.org/drawingml/2006/main">
                  <a:graphicData uri="http://schemas.microsoft.com/office/word/2010/wordprocessingShape">
                    <wps:wsp>
                      <wps:cNvSpPr/>
                      <wps:spPr>
                        <a:xfrm>
                          <a:off x="0" y="0"/>
                          <a:ext cx="617220" cy="335280"/>
                        </a:xfrm>
                        <a:prstGeom prst="wedgeRectCallout">
                          <a:avLst>
                            <a:gd name="adj1" fmla="val -96810"/>
                            <a:gd name="adj2" fmla="val -191287"/>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本项目</w:t>
                            </w:r>
                          </w:p>
                        </w:txbxContent>
                      </wps:txbx>
                      <wps:bodyPr upright="1"/>
                    </wps:wsp>
                  </a:graphicData>
                </a:graphic>
              </wp:anchor>
            </w:drawing>
          </mc:Choice>
          <mc:Fallback>
            <w:pict>
              <v:shape id="自选图形 10" o:spid="_x0000_s1026" o:spt="61" type="#_x0000_t61" style="position:absolute;left:0pt;margin-left:257.05pt;margin-top:281.15pt;height:26.4pt;width:48.6pt;z-index:251659264;mso-width-relative:page;mso-height-relative:page;" fillcolor="#FFFFFF" filled="t" stroked="t" coordsize="21600,21600" o:gfxdata="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8OEorYAAAACwEAAA8AAAAAAAAAAQAgAAAAIgAAAGRycy9k&#10;b3ducmV2LnhtbFBLAQIUABQAAAAIAIdO4kDTinhXOwIAAI8EAAAOAAAAAAAAAAEAIAAAACcBAABk&#10;cnMvZTJvRG9jLnhtbFBLBQYAAAAABgAGAFkBAADUBQAAAAA=&#10;" adj="-10111,-30518">
                <v:fill on="t" focussize="0,0"/>
                <v:stroke color="#000000" joinstyle="miter"/>
                <v:imagedata o:title=""/>
                <o:lock v:ext="edit" aspectratio="f"/>
                <v:textbox>
                  <w:txbxContent>
                    <w:p>
                      <w:r>
                        <w:rPr>
                          <w:rFonts w:hint="eastAsia"/>
                        </w:rPr>
                        <w:t>本项目</w:t>
                      </w:r>
                    </w:p>
                  </w:txbxContent>
                </v:textbox>
              </v:shape>
            </w:pict>
          </mc:Fallback>
        </mc:AlternateContent>
      </w:r>
      <w:r>
        <w:rPr>
          <w:rFonts w:eastAsiaTheme="minorEastAsia"/>
          <w:szCs w:val="21"/>
        </w:rPr>
        <w:drawing>
          <wp:inline distT="0" distB="0" distL="0" distR="0">
            <wp:extent cx="5615940" cy="4022090"/>
            <wp:effectExtent l="19050" t="0" r="3810" b="0"/>
            <wp:docPr id="6" name="图片 4" descr="C:\Users\ADMINI~1\AppData\Local\Temp\WeChat Files\c5ea8eb2ee65541112fdafa935466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C:\Users\ADMINI~1\AppData\Local\Temp\WeChat Files\c5ea8eb2ee65541112fdafa9354668f.png"/>
                    <pic:cNvPicPr>
                      <a:picLocks noChangeAspect="1" noChangeArrowheads="1"/>
                    </pic:cNvPicPr>
                  </pic:nvPicPr>
                  <pic:blipFill>
                    <a:blip r:embed="rId16" cstate="print"/>
                    <a:srcRect/>
                    <a:stretch>
                      <a:fillRect/>
                    </a:stretch>
                  </pic:blipFill>
                  <pic:spPr>
                    <a:xfrm>
                      <a:off x="0" y="0"/>
                      <a:ext cx="5615940" cy="4022143"/>
                    </a:xfrm>
                    <a:prstGeom prst="rect">
                      <a:avLst/>
                    </a:prstGeom>
                    <a:noFill/>
                    <a:ln w="9525">
                      <a:noFill/>
                      <a:miter lim="800000"/>
                      <a:headEnd/>
                      <a:tailEnd/>
                    </a:ln>
                  </pic:spPr>
                </pic:pic>
              </a:graphicData>
            </a:graphic>
          </wp:inline>
        </w:drawing>
      </w:r>
    </w:p>
    <w:p>
      <w:pPr>
        <w:adjustRightInd w:val="0"/>
        <w:snapToGrid w:val="0"/>
        <w:spacing w:beforeLines="80"/>
        <w:jc w:val="left"/>
        <w:rPr>
          <w:rFonts w:eastAsiaTheme="minorEastAsia"/>
          <w:szCs w:val="21"/>
        </w:rPr>
      </w:pPr>
    </w:p>
    <w:p>
      <w:pPr>
        <w:adjustRightInd w:val="0"/>
        <w:snapToGrid w:val="0"/>
        <w:spacing w:beforeLines="80"/>
        <w:jc w:val="left"/>
        <w:rPr>
          <w:rFonts w:eastAsiaTheme="minorEastAsia"/>
          <w:szCs w:val="21"/>
        </w:rPr>
        <w:sectPr>
          <w:pgSz w:w="11906" w:h="16838"/>
          <w:pgMar w:top="1701" w:right="1531" w:bottom="1701" w:left="1531" w:header="851" w:footer="851" w:gutter="0"/>
          <w:cols w:space="720" w:num="1"/>
          <w:docGrid w:linePitch="312" w:charSpace="0"/>
        </w:sectPr>
      </w:pPr>
    </w:p>
    <w:p>
      <w:pPr>
        <w:adjustRightInd w:val="0"/>
        <w:snapToGrid w:val="0"/>
        <w:spacing w:beforeLines="80"/>
        <w:jc w:val="left"/>
        <w:rPr>
          <w:rFonts w:eastAsiaTheme="minorEastAsia"/>
          <w:szCs w:val="21"/>
        </w:rPr>
      </w:pPr>
      <w:r>
        <w:rPr>
          <w:rFonts w:eastAsiaTheme="minorEastAsia"/>
          <w:szCs w:val="21"/>
        </w:rPr>
        <w:t>附图3：环保目标图</w:t>
      </w:r>
    </w:p>
    <w:p>
      <w:pPr>
        <w:adjustRightInd w:val="0"/>
        <w:snapToGrid w:val="0"/>
        <w:spacing w:beforeLines="80"/>
        <w:jc w:val="center"/>
        <w:rPr>
          <w:rFonts w:eastAsiaTheme="minorEastAsia"/>
          <w:szCs w:val="21"/>
        </w:rPr>
      </w:pPr>
      <w:r>
        <w:rPr>
          <w:rFonts w:eastAsiaTheme="minorEastAsia"/>
          <w:szCs w:val="21"/>
        </w:rPr>
        <w:drawing>
          <wp:inline distT="0" distB="0" distL="0" distR="0">
            <wp:extent cx="7143750" cy="4916805"/>
            <wp:effectExtent l="19050" t="0" r="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noChangeArrowheads="1"/>
                    </pic:cNvPicPr>
                  </pic:nvPicPr>
                  <pic:blipFill>
                    <a:blip r:embed="rId17" cstate="print"/>
                    <a:srcRect/>
                    <a:stretch>
                      <a:fillRect/>
                    </a:stretch>
                  </pic:blipFill>
                  <pic:spPr>
                    <a:xfrm>
                      <a:off x="0" y="0"/>
                      <a:ext cx="7146955" cy="4919046"/>
                    </a:xfrm>
                    <a:prstGeom prst="rect">
                      <a:avLst/>
                    </a:prstGeom>
                    <a:noFill/>
                    <a:ln w="9525">
                      <a:noFill/>
                      <a:miter lim="800000"/>
                      <a:headEnd/>
                      <a:tailEnd/>
                    </a:ln>
                  </pic:spPr>
                </pic:pic>
              </a:graphicData>
            </a:graphic>
          </wp:inline>
        </w:drawing>
      </w:r>
    </w:p>
    <w:p>
      <w:pPr>
        <w:widowControl/>
        <w:jc w:val="left"/>
        <w:rPr>
          <w:rFonts w:eastAsiaTheme="minorEastAsia"/>
          <w:szCs w:val="21"/>
        </w:rPr>
      </w:pPr>
      <w:r>
        <w:rPr>
          <w:rFonts w:eastAsiaTheme="minorEastAsia"/>
          <w:szCs w:val="21"/>
        </w:rPr>
        <w:br w:type="page"/>
      </w:r>
    </w:p>
    <w:p>
      <w:pPr>
        <w:adjustRightInd w:val="0"/>
        <w:snapToGrid w:val="0"/>
        <w:spacing w:beforeLines="80"/>
        <w:jc w:val="left"/>
        <w:rPr>
          <w:rFonts w:eastAsiaTheme="minorEastAsia"/>
          <w:szCs w:val="21"/>
        </w:rPr>
      </w:pPr>
      <w:r>
        <w:rPr>
          <w:rFonts w:eastAsiaTheme="minorEastAsia"/>
          <w:szCs w:val="21"/>
        </w:rPr>
        <w:t>附图:4：四邻关系图</w:t>
      </w:r>
    </w:p>
    <w:p>
      <w:pPr>
        <w:adjustRightInd w:val="0"/>
        <w:snapToGrid w:val="0"/>
        <w:spacing w:beforeLines="80"/>
        <w:jc w:val="center"/>
        <w:rPr>
          <w:rFonts w:eastAsiaTheme="minorEastAsia"/>
          <w:szCs w:val="21"/>
        </w:rPr>
        <w:sectPr>
          <w:pgSz w:w="16838" w:h="11906" w:orient="landscape"/>
          <w:pgMar w:top="1531" w:right="1701" w:bottom="1531" w:left="1701" w:header="851" w:footer="851" w:gutter="0"/>
          <w:cols w:space="720" w:num="1"/>
          <w:docGrid w:linePitch="312" w:charSpace="0"/>
        </w:sectPr>
      </w:pPr>
      <w:r>
        <w:rPr>
          <w:rFonts w:eastAsiaTheme="minorEastAsia"/>
          <w:szCs w:val="21"/>
        </w:rPr>
        <w:drawing>
          <wp:inline distT="0" distB="0" distL="0" distR="0">
            <wp:extent cx="7395210" cy="481203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8" cstate="print"/>
                    <a:srcRect/>
                    <a:stretch>
                      <a:fillRect/>
                    </a:stretch>
                  </pic:blipFill>
                  <pic:spPr>
                    <a:xfrm>
                      <a:off x="0" y="0"/>
                      <a:ext cx="7389078" cy="4808663"/>
                    </a:xfrm>
                    <a:prstGeom prst="rect">
                      <a:avLst/>
                    </a:prstGeom>
                    <a:noFill/>
                    <a:ln w="9525">
                      <a:noFill/>
                      <a:miter lim="800000"/>
                      <a:headEnd/>
                      <a:tailEnd/>
                    </a:ln>
                  </pic:spPr>
                </pic:pic>
              </a:graphicData>
            </a:graphic>
          </wp:inline>
        </w:drawing>
      </w:r>
      <w:r>
        <w:rPr>
          <w:rFonts w:eastAsiaTheme="minorEastAsia"/>
          <w:szCs w:val="21"/>
        </w:rPr>
        <w:t xml:space="preserve"> </w:t>
      </w:r>
    </w:p>
    <w:p>
      <w:pPr>
        <w:adjustRightInd w:val="0"/>
        <w:snapToGrid w:val="0"/>
        <w:spacing w:beforeLines="80"/>
        <w:jc w:val="left"/>
        <w:rPr>
          <w:rFonts w:eastAsiaTheme="minorEastAsia"/>
          <w:szCs w:val="21"/>
        </w:rPr>
      </w:pPr>
      <w:r>
        <w:rPr>
          <w:rFonts w:eastAsiaTheme="minorEastAsia"/>
          <w:szCs w:val="21"/>
        </w:rPr>
        <w:t>附图5：平面布置图</w:t>
      </w:r>
    </w:p>
    <w:p>
      <w:pPr>
        <w:adjustRightInd w:val="0"/>
        <w:snapToGrid w:val="0"/>
        <w:jc w:val="center"/>
        <w:rPr>
          <w:rFonts w:eastAsiaTheme="minorEastAsia"/>
          <w:szCs w:val="21"/>
        </w:rPr>
      </w:pPr>
      <w:r>
        <w:rPr>
          <w:rFonts w:eastAsiaTheme="minorEastAsia"/>
          <w:szCs w:val="21"/>
        </w:rPr>
        <w:drawing>
          <wp:inline distT="0" distB="0" distL="0" distR="0">
            <wp:extent cx="5944870" cy="5347970"/>
            <wp:effectExtent l="0" t="0" r="13970" b="12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9" cstate="print"/>
                    <a:srcRect/>
                    <a:stretch>
                      <a:fillRect/>
                    </a:stretch>
                  </pic:blipFill>
                  <pic:spPr>
                    <a:xfrm>
                      <a:off x="0" y="0"/>
                      <a:ext cx="5944870" cy="5347970"/>
                    </a:xfrm>
                    <a:prstGeom prst="rect">
                      <a:avLst/>
                    </a:prstGeom>
                    <a:noFill/>
                    <a:ln w="9525">
                      <a:noFill/>
                      <a:miter lim="800000"/>
                      <a:headEnd/>
                      <a:tailEnd/>
                    </a:ln>
                  </pic:spPr>
                </pic:pic>
              </a:graphicData>
            </a:graphic>
          </wp:inline>
        </w:drawing>
      </w:r>
    </w:p>
    <w:p>
      <w:pPr>
        <w:adjustRightInd w:val="0"/>
        <w:snapToGrid w:val="0"/>
        <w:spacing w:beforeLines="80"/>
        <w:jc w:val="center"/>
        <w:rPr>
          <w:rFonts w:eastAsiaTheme="minorEastAsia"/>
          <w:szCs w:val="21"/>
        </w:rPr>
      </w:pPr>
      <w:r>
        <w:rPr>
          <w:rFonts w:eastAsiaTheme="minorEastAsia"/>
          <w:szCs w:val="21"/>
        </w:rPr>
        <w:br w:type="page"/>
      </w:r>
    </w:p>
    <w:p>
      <w:pPr>
        <w:adjustRightInd w:val="0"/>
        <w:snapToGrid w:val="0"/>
        <w:spacing w:beforeLines="80"/>
        <w:jc w:val="left"/>
        <w:rPr>
          <w:rFonts w:eastAsiaTheme="minorEastAsia"/>
          <w:szCs w:val="21"/>
        </w:rPr>
      </w:pPr>
      <w:r>
        <w:rPr>
          <w:rFonts w:eastAsiaTheme="minorEastAsia"/>
          <w:szCs w:val="21"/>
        </w:rPr>
        <w:t>附件1：立项文件</w:t>
      </w:r>
    </w:p>
    <w:p>
      <w:pPr>
        <w:adjustRightInd w:val="0"/>
        <w:snapToGrid w:val="0"/>
        <w:spacing w:beforeLines="80"/>
        <w:jc w:val="center"/>
        <w:rPr>
          <w:rFonts w:eastAsiaTheme="minorEastAsia"/>
          <w:szCs w:val="21"/>
        </w:rPr>
      </w:pPr>
      <w:r>
        <w:rPr>
          <w:rFonts w:eastAsiaTheme="minorEastAsia"/>
          <w:szCs w:val="21"/>
        </w:rPr>
        <w:drawing>
          <wp:inline distT="0" distB="0" distL="0" distR="0">
            <wp:extent cx="5615940" cy="7947660"/>
            <wp:effectExtent l="19050" t="0" r="3810" b="0"/>
            <wp:docPr id="11" name="图片 10" descr="项目备案告知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项目备案告知书.jpg"/>
                    <pic:cNvPicPr>
                      <a:picLocks noChangeAspect="1"/>
                    </pic:cNvPicPr>
                  </pic:nvPicPr>
                  <pic:blipFill>
                    <a:blip r:embed="rId20" cstate="print"/>
                    <a:stretch>
                      <a:fillRect/>
                    </a:stretch>
                  </pic:blipFill>
                  <pic:spPr>
                    <a:xfrm>
                      <a:off x="0" y="0"/>
                      <a:ext cx="5615940" cy="7947660"/>
                    </a:xfrm>
                    <a:prstGeom prst="rect">
                      <a:avLst/>
                    </a:prstGeom>
                  </pic:spPr>
                </pic:pic>
              </a:graphicData>
            </a:graphic>
          </wp:inline>
        </w:drawing>
      </w:r>
    </w:p>
    <w:p>
      <w:pPr>
        <w:adjustRightInd w:val="0"/>
        <w:snapToGrid w:val="0"/>
        <w:spacing w:beforeLines="80"/>
        <w:jc w:val="left"/>
        <w:rPr>
          <w:rFonts w:eastAsiaTheme="minorEastAsia"/>
          <w:szCs w:val="21"/>
        </w:rPr>
        <w:sectPr>
          <w:pgSz w:w="11906" w:h="16838"/>
          <w:pgMar w:top="1701" w:right="1531" w:bottom="1701" w:left="1531" w:header="851" w:footer="851" w:gutter="0"/>
          <w:cols w:space="720" w:num="1"/>
          <w:docGrid w:linePitch="312" w:charSpace="0"/>
        </w:sectPr>
      </w:pPr>
      <w:r>
        <w:rPr>
          <w:rFonts w:eastAsiaTheme="minorEastAsia"/>
          <w:szCs w:val="21"/>
        </w:rPr>
        <w:br w:type="page"/>
      </w:r>
    </w:p>
    <w:p>
      <w:pPr>
        <w:adjustRightInd w:val="0"/>
        <w:snapToGrid w:val="0"/>
        <w:spacing w:beforeLines="80"/>
        <w:jc w:val="left"/>
        <w:rPr>
          <w:rFonts w:eastAsiaTheme="minorEastAsia"/>
          <w:szCs w:val="21"/>
        </w:rPr>
      </w:pPr>
      <w:r>
        <w:rPr>
          <w:rFonts w:eastAsiaTheme="minorEastAsia"/>
          <w:szCs w:val="21"/>
        </w:rPr>
        <w:t>附件2：</w:t>
      </w:r>
      <w:r>
        <w:rPr>
          <w:rFonts w:hint="eastAsia" w:eastAsiaTheme="minorEastAsia"/>
          <w:szCs w:val="21"/>
        </w:rPr>
        <w:t>《五原县胜丰镇总体规划（2011-2030）》（2017修订）的批复</w:t>
      </w:r>
    </w:p>
    <w:p>
      <w:pPr>
        <w:adjustRightInd w:val="0"/>
        <w:snapToGrid w:val="0"/>
        <w:spacing w:beforeLines="80"/>
        <w:jc w:val="center"/>
        <w:rPr>
          <w:rFonts w:eastAsiaTheme="minorEastAsia"/>
          <w:szCs w:val="21"/>
        </w:rPr>
      </w:pPr>
      <w:r>
        <w:rPr>
          <w:rFonts w:eastAsiaTheme="minorEastAsia"/>
          <w:szCs w:val="21"/>
        </w:rPr>
        <w:drawing>
          <wp:inline distT="0" distB="0" distL="0" distR="0">
            <wp:extent cx="5223510" cy="7360920"/>
            <wp:effectExtent l="19050" t="0" r="0" b="0"/>
            <wp:docPr id="12" name="图片 11" descr="五原政府胜丰规划批复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五原政府胜丰规划批复_页面_1.jpg"/>
                    <pic:cNvPicPr>
                      <a:picLocks noChangeAspect="1"/>
                    </pic:cNvPicPr>
                  </pic:nvPicPr>
                  <pic:blipFill>
                    <a:blip r:embed="rId21" cstate="print"/>
                    <a:srcRect l="6988" t="1055" b="6328"/>
                    <a:stretch>
                      <a:fillRect/>
                    </a:stretch>
                  </pic:blipFill>
                  <pic:spPr>
                    <a:xfrm>
                      <a:off x="0" y="0"/>
                      <a:ext cx="5223510" cy="7360920"/>
                    </a:xfrm>
                    <a:prstGeom prst="rect">
                      <a:avLst/>
                    </a:prstGeom>
                  </pic:spPr>
                </pic:pic>
              </a:graphicData>
            </a:graphic>
          </wp:inline>
        </w:drawing>
      </w:r>
    </w:p>
    <w:p>
      <w:pPr>
        <w:adjustRightInd w:val="0"/>
        <w:snapToGrid w:val="0"/>
        <w:spacing w:beforeLines="80"/>
        <w:jc w:val="center"/>
        <w:rPr>
          <w:rFonts w:eastAsiaTheme="minorEastAsia"/>
          <w:szCs w:val="21"/>
        </w:rPr>
      </w:pPr>
      <w:r>
        <w:rPr>
          <w:rFonts w:eastAsiaTheme="minorEastAsia"/>
          <w:szCs w:val="21"/>
        </w:rPr>
        <w:drawing>
          <wp:inline distT="0" distB="0" distL="0" distR="0">
            <wp:extent cx="4560570" cy="6812280"/>
            <wp:effectExtent l="19050" t="0" r="0" b="0"/>
            <wp:docPr id="15" name="图片 14" descr="五原政府胜丰规划批复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五原政府胜丰规划批复_页面_2.jpg"/>
                    <pic:cNvPicPr>
                      <a:picLocks noChangeAspect="1"/>
                    </pic:cNvPicPr>
                  </pic:nvPicPr>
                  <pic:blipFill>
                    <a:blip r:embed="rId22" cstate="print"/>
                    <a:srcRect l="6982" t="4698" r="11872" b="9588"/>
                    <a:stretch>
                      <a:fillRect/>
                    </a:stretch>
                  </pic:blipFill>
                  <pic:spPr>
                    <a:xfrm>
                      <a:off x="0" y="0"/>
                      <a:ext cx="4560570" cy="6812280"/>
                    </a:xfrm>
                    <a:prstGeom prst="rect">
                      <a:avLst/>
                    </a:prstGeom>
                  </pic:spPr>
                </pic:pic>
              </a:graphicData>
            </a:graphic>
          </wp:inline>
        </w:drawing>
      </w:r>
    </w:p>
    <w:p>
      <w:pPr>
        <w:adjustRightInd w:val="0"/>
        <w:snapToGrid w:val="0"/>
        <w:spacing w:beforeLines="80"/>
        <w:jc w:val="center"/>
        <w:rPr>
          <w:rFonts w:eastAsiaTheme="minorEastAsia"/>
          <w:szCs w:val="21"/>
        </w:rPr>
      </w:pPr>
    </w:p>
    <w:p>
      <w:pPr>
        <w:adjustRightInd w:val="0"/>
        <w:snapToGrid w:val="0"/>
        <w:spacing w:beforeLines="80"/>
        <w:jc w:val="center"/>
        <w:rPr>
          <w:rFonts w:eastAsiaTheme="minorEastAsia"/>
          <w:szCs w:val="21"/>
        </w:rPr>
      </w:pPr>
    </w:p>
    <w:p>
      <w:pPr>
        <w:adjustRightInd w:val="0"/>
        <w:snapToGrid w:val="0"/>
        <w:spacing w:beforeLines="80"/>
        <w:jc w:val="center"/>
        <w:rPr>
          <w:rFonts w:eastAsiaTheme="minorEastAsia"/>
          <w:szCs w:val="21"/>
        </w:rPr>
      </w:pPr>
    </w:p>
    <w:p>
      <w:pPr>
        <w:widowControl/>
        <w:jc w:val="left"/>
        <w:rPr>
          <w:rFonts w:eastAsiaTheme="minorEastAsia"/>
          <w:szCs w:val="21"/>
        </w:rPr>
      </w:pPr>
      <w:r>
        <w:rPr>
          <w:rFonts w:eastAsiaTheme="minorEastAsia"/>
          <w:szCs w:val="21"/>
        </w:rPr>
        <w:br w:type="page"/>
      </w:r>
    </w:p>
    <w:p>
      <w:pPr>
        <w:adjustRightInd w:val="0"/>
        <w:snapToGrid w:val="0"/>
        <w:spacing w:beforeLines="80"/>
        <w:jc w:val="left"/>
        <w:rPr>
          <w:rFonts w:eastAsiaTheme="minorEastAsia"/>
          <w:szCs w:val="21"/>
        </w:rPr>
      </w:pPr>
      <w:r>
        <w:rPr>
          <w:rFonts w:eastAsiaTheme="minorEastAsia"/>
          <w:szCs w:val="21"/>
        </w:rPr>
        <w:t>附件</w:t>
      </w:r>
      <w:r>
        <w:rPr>
          <w:rFonts w:hint="eastAsia" w:eastAsiaTheme="minorEastAsia"/>
          <w:szCs w:val="21"/>
        </w:rPr>
        <w:t>3</w:t>
      </w:r>
      <w:r>
        <w:rPr>
          <w:rFonts w:eastAsiaTheme="minorEastAsia"/>
          <w:szCs w:val="21"/>
        </w:rPr>
        <w:t>：</w:t>
      </w:r>
      <w:r>
        <w:rPr>
          <w:rFonts w:hint="eastAsia" w:eastAsiaTheme="minorEastAsia"/>
          <w:szCs w:val="21"/>
        </w:rPr>
        <w:t>用地预审意见</w:t>
      </w:r>
      <w:r>
        <w:rPr>
          <w:rFonts w:eastAsiaTheme="minorEastAsia"/>
          <w:szCs w:val="21"/>
        </w:rPr>
        <w:t>文件</w:t>
      </w:r>
    </w:p>
    <w:p>
      <w:pPr>
        <w:adjustRightInd w:val="0"/>
        <w:snapToGrid w:val="0"/>
        <w:spacing w:beforeLines="80"/>
        <w:jc w:val="center"/>
        <w:rPr>
          <w:rFonts w:eastAsiaTheme="minorEastAsia"/>
          <w:szCs w:val="21"/>
        </w:rPr>
      </w:pPr>
      <w:r>
        <w:rPr>
          <w:rFonts w:eastAsiaTheme="minorEastAsia"/>
          <w:szCs w:val="21"/>
        </w:rPr>
        <w:drawing>
          <wp:inline distT="0" distB="0" distL="0" distR="0">
            <wp:extent cx="5154930" cy="7597140"/>
            <wp:effectExtent l="19050" t="0" r="7620" b="0"/>
            <wp:docPr id="16" name="图片 15" descr="扫描全能王 2022-10-08 17.56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扫描全能王 2022-10-08 17.56_页面_1.jpg"/>
                    <pic:cNvPicPr>
                      <a:picLocks noChangeAspect="1"/>
                    </pic:cNvPicPr>
                  </pic:nvPicPr>
                  <pic:blipFill>
                    <a:blip r:embed="rId23" cstate="print"/>
                    <a:srcRect l="8209" b="4410"/>
                    <a:stretch>
                      <a:fillRect/>
                    </a:stretch>
                  </pic:blipFill>
                  <pic:spPr>
                    <a:xfrm>
                      <a:off x="0" y="0"/>
                      <a:ext cx="5154930" cy="7597140"/>
                    </a:xfrm>
                    <a:prstGeom prst="rect">
                      <a:avLst/>
                    </a:prstGeom>
                  </pic:spPr>
                </pic:pic>
              </a:graphicData>
            </a:graphic>
          </wp:inline>
        </w:drawing>
      </w:r>
    </w:p>
    <w:p>
      <w:pPr>
        <w:adjustRightInd w:val="0"/>
        <w:snapToGrid w:val="0"/>
        <w:spacing w:beforeLines="80"/>
        <w:jc w:val="center"/>
        <w:rPr>
          <w:rFonts w:eastAsiaTheme="minorEastAsia"/>
          <w:szCs w:val="21"/>
        </w:rPr>
      </w:pPr>
      <w:r>
        <w:rPr>
          <w:rFonts w:eastAsiaTheme="minorEastAsia"/>
          <w:szCs w:val="21"/>
        </w:rPr>
        <w:drawing>
          <wp:inline distT="0" distB="0" distL="0" distR="0">
            <wp:extent cx="5185410" cy="7536180"/>
            <wp:effectExtent l="19050" t="0" r="0" b="0"/>
            <wp:docPr id="17" name="图片 16" descr="扫描全能王 2022-10-08 17.56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扫描全能王 2022-10-08 17.56_页面_2.jpg"/>
                    <pic:cNvPicPr>
                      <a:picLocks noChangeAspect="1"/>
                    </pic:cNvPicPr>
                  </pic:nvPicPr>
                  <pic:blipFill>
                    <a:blip r:embed="rId24" cstate="print"/>
                    <a:srcRect l="7666" t="5177"/>
                    <a:stretch>
                      <a:fillRect/>
                    </a:stretch>
                  </pic:blipFill>
                  <pic:spPr>
                    <a:xfrm>
                      <a:off x="0" y="0"/>
                      <a:ext cx="5185410" cy="7536180"/>
                    </a:xfrm>
                    <a:prstGeom prst="rect">
                      <a:avLst/>
                    </a:prstGeom>
                  </pic:spPr>
                </pic:pic>
              </a:graphicData>
            </a:graphic>
          </wp:inline>
        </w:drawing>
      </w:r>
    </w:p>
    <w:p>
      <w:pPr>
        <w:adjustRightInd w:val="0"/>
        <w:snapToGrid w:val="0"/>
        <w:spacing w:beforeLines="80"/>
        <w:jc w:val="center"/>
        <w:rPr>
          <w:rFonts w:eastAsiaTheme="minorEastAsia"/>
          <w:szCs w:val="21"/>
        </w:rPr>
      </w:pPr>
      <w:r>
        <w:rPr>
          <w:rFonts w:eastAsiaTheme="minorEastAsia"/>
          <w:szCs w:val="21"/>
        </w:rPr>
        <w:drawing>
          <wp:inline distT="0" distB="0" distL="0" distR="0">
            <wp:extent cx="5082540" cy="7170420"/>
            <wp:effectExtent l="19050" t="0" r="3810" b="0"/>
            <wp:docPr id="18" name="图片 17" descr="扫描全能王 2022-10-08 17.56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扫描全能王 2022-10-08 17.56_页面_3.jpg"/>
                    <pic:cNvPicPr>
                      <a:picLocks noChangeAspect="1"/>
                    </pic:cNvPicPr>
                  </pic:nvPicPr>
                  <pic:blipFill>
                    <a:blip r:embed="rId25" cstate="print"/>
                    <a:srcRect l="1696" t="6232" r="7927" b="3547"/>
                    <a:stretch>
                      <a:fillRect/>
                    </a:stretch>
                  </pic:blipFill>
                  <pic:spPr>
                    <a:xfrm>
                      <a:off x="0" y="0"/>
                      <a:ext cx="5082540" cy="7170420"/>
                    </a:xfrm>
                    <a:prstGeom prst="rect">
                      <a:avLst/>
                    </a:prstGeom>
                  </pic:spPr>
                </pic:pic>
              </a:graphicData>
            </a:graphic>
          </wp:inline>
        </w:drawing>
      </w:r>
    </w:p>
    <w:p>
      <w:pPr>
        <w:widowControl/>
        <w:jc w:val="left"/>
        <w:rPr>
          <w:rFonts w:eastAsiaTheme="minorEastAsia"/>
          <w:szCs w:val="21"/>
        </w:rPr>
      </w:pPr>
      <w:r>
        <w:rPr>
          <w:rFonts w:eastAsiaTheme="minorEastAsia"/>
          <w:szCs w:val="21"/>
        </w:rPr>
        <w:br w:type="page"/>
      </w:r>
    </w:p>
    <w:p>
      <w:pPr>
        <w:adjustRightInd w:val="0"/>
        <w:snapToGrid w:val="0"/>
        <w:spacing w:beforeLines="80"/>
        <w:jc w:val="left"/>
        <w:rPr>
          <w:rFonts w:eastAsiaTheme="minorEastAsia"/>
          <w:bCs/>
          <w:szCs w:val="21"/>
        </w:rPr>
      </w:pPr>
      <w:r>
        <w:rPr>
          <w:rFonts w:hint="eastAsia" w:eastAsiaTheme="minorEastAsia"/>
          <w:szCs w:val="21"/>
        </w:rPr>
        <w:t>附件4：</w:t>
      </w:r>
      <w:r>
        <w:rPr>
          <w:rFonts w:hint="eastAsia" w:eastAsiaTheme="minorEastAsia"/>
          <w:bCs/>
          <w:szCs w:val="21"/>
        </w:rPr>
        <w:t>使用林地审核同意书</w:t>
      </w:r>
    </w:p>
    <w:p>
      <w:pPr>
        <w:adjustRightInd w:val="0"/>
        <w:snapToGrid w:val="0"/>
        <w:spacing w:beforeLines="80"/>
        <w:jc w:val="center"/>
        <w:rPr>
          <w:rFonts w:eastAsiaTheme="minorEastAsia"/>
          <w:szCs w:val="21"/>
        </w:rPr>
      </w:pPr>
      <w:r>
        <w:rPr>
          <w:rFonts w:hint="eastAsia" w:eastAsiaTheme="minorEastAsia"/>
          <w:szCs w:val="21"/>
        </w:rPr>
        <w:drawing>
          <wp:inline distT="0" distB="0" distL="0" distR="0">
            <wp:extent cx="5615940" cy="7938770"/>
            <wp:effectExtent l="19050" t="0" r="3810" b="0"/>
            <wp:docPr id="7" name="图片 6" descr="1140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1140_页面_1.jpg"/>
                    <pic:cNvPicPr>
                      <a:picLocks noChangeAspect="1"/>
                    </pic:cNvPicPr>
                  </pic:nvPicPr>
                  <pic:blipFill>
                    <a:blip r:embed="rId26" cstate="print"/>
                    <a:stretch>
                      <a:fillRect/>
                    </a:stretch>
                  </pic:blipFill>
                  <pic:spPr>
                    <a:xfrm>
                      <a:off x="0" y="0"/>
                      <a:ext cx="5615940" cy="7938770"/>
                    </a:xfrm>
                    <a:prstGeom prst="rect">
                      <a:avLst/>
                    </a:prstGeom>
                  </pic:spPr>
                </pic:pic>
              </a:graphicData>
            </a:graphic>
          </wp:inline>
        </w:drawing>
      </w:r>
    </w:p>
    <w:p>
      <w:pPr>
        <w:adjustRightInd w:val="0"/>
        <w:snapToGrid w:val="0"/>
        <w:spacing w:beforeLines="80"/>
        <w:jc w:val="center"/>
        <w:rPr>
          <w:rFonts w:eastAsiaTheme="minorEastAsia"/>
          <w:szCs w:val="21"/>
        </w:rPr>
      </w:pPr>
      <w:r>
        <w:rPr>
          <w:rFonts w:eastAsiaTheme="minorEastAsia"/>
          <w:szCs w:val="21"/>
        </w:rPr>
        <w:drawing>
          <wp:inline distT="0" distB="0" distL="0" distR="0">
            <wp:extent cx="5615940" cy="7936865"/>
            <wp:effectExtent l="19050" t="0" r="3810" b="0"/>
            <wp:docPr id="9" name="图片 8" descr="1140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1140_页面_2.jpg"/>
                    <pic:cNvPicPr>
                      <a:picLocks noChangeAspect="1"/>
                    </pic:cNvPicPr>
                  </pic:nvPicPr>
                  <pic:blipFill>
                    <a:blip r:embed="rId27" cstate="print"/>
                    <a:stretch>
                      <a:fillRect/>
                    </a:stretch>
                  </pic:blipFill>
                  <pic:spPr>
                    <a:xfrm>
                      <a:off x="0" y="0"/>
                      <a:ext cx="5615940" cy="7936865"/>
                    </a:xfrm>
                    <a:prstGeom prst="rect">
                      <a:avLst/>
                    </a:prstGeom>
                  </pic:spPr>
                </pic:pic>
              </a:graphicData>
            </a:graphic>
          </wp:inline>
        </w:drawing>
      </w:r>
    </w:p>
    <w:p>
      <w:pPr>
        <w:adjustRightInd w:val="0"/>
        <w:snapToGrid w:val="0"/>
        <w:spacing w:beforeLines="80"/>
        <w:jc w:val="center"/>
        <w:rPr>
          <w:rFonts w:eastAsiaTheme="minorEastAsia"/>
          <w:szCs w:val="21"/>
        </w:rPr>
      </w:pPr>
    </w:p>
    <w:p>
      <w:pPr>
        <w:widowControl/>
        <w:jc w:val="left"/>
        <w:rPr>
          <w:rFonts w:eastAsiaTheme="minorEastAsia"/>
          <w:b/>
          <w:sz w:val="36"/>
          <w:szCs w:val="36"/>
        </w:rPr>
      </w:pPr>
    </w:p>
    <w:sectPr>
      <w:pgSz w:w="11906" w:h="16838"/>
      <w:pgMar w:top="1701" w:right="1531" w:bottom="1701" w:left="1531" w:header="851" w:footer="851" w:gutter="0"/>
      <w:cols w:space="720" w:num="1"/>
      <w:docGrid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Administrator" w:date="2023-02-28T08:36:00Z" w:initials="A">
    <w:p w14:paraId="72AE2CD6">
      <w:pPr>
        <w:pStyle w:val="5"/>
        <w:rPr>
          <w:rFonts w:hint="eastAsia" w:eastAsia="宋体"/>
          <w:lang w:eastAsia="zh-CN"/>
        </w:rPr>
      </w:pPr>
      <w:r>
        <w:rPr>
          <w:rFonts w:hint="eastAsia"/>
          <w:lang w:eastAsia="zh-CN"/>
        </w:rPr>
        <w:t>已修改</w:t>
      </w:r>
    </w:p>
  </w:comment>
  <w:comment w:id="1" w:author="Administrator" w:date="2023-03-07T20:36:50Z" w:initials="A">
    <w:p w14:paraId="5F906952">
      <w:pPr>
        <w:pStyle w:val="5"/>
        <w:rPr>
          <w:rFonts w:hint="eastAsia" w:eastAsia="宋体"/>
          <w:lang w:eastAsia="zh-CN"/>
        </w:rPr>
      </w:pPr>
      <w:r>
        <w:rPr>
          <w:rFonts w:hint="eastAsia"/>
          <w:lang w:eastAsia="zh-CN"/>
        </w:rPr>
        <w:t>已修改</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2AE2CD6" w15:done="0"/>
  <w15:commentEx w15:paraId="5F906952"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TimesNewRomanPSMT">
    <w:altName w:val="Times New Roman"/>
    <w:panose1 w:val="00000000000000000000"/>
    <w:charset w:val="86"/>
    <w:family w:val="auto"/>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ind w:firstLine="360"/>
      <w:rPr>
        <w:rStyle w:val="22"/>
      </w:rPr>
    </w:pPr>
    <w:r>
      <w:fldChar w:fldCharType="begin"/>
    </w:r>
    <w:r>
      <w:rPr>
        <w:rStyle w:val="22"/>
      </w:rPr>
      <w:instrText xml:space="preserve">PAGE  </w:instrText>
    </w:r>
    <w:r>
      <w:fldChar w:fldCharType="end"/>
    </w:r>
  </w:p>
  <w:p>
    <w:pPr>
      <w:pStyle w:val="1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ind w:firstLine="560"/>
      <w:rPr>
        <w:rStyle w:val="22"/>
        <w:rFonts w:ascii="宋体" w:hAnsi="宋体"/>
        <w:sz w:val="28"/>
        <w:szCs w:val="28"/>
      </w:rPr>
    </w:pPr>
    <w:r>
      <w:rPr>
        <w:rStyle w:val="22"/>
        <w:rFonts w:hint="eastAsia" w:ascii="宋体" w:hAnsi="宋体"/>
        <w:sz w:val="28"/>
        <w:szCs w:val="28"/>
      </w:rPr>
      <w:t>—</w:t>
    </w:r>
    <w:r>
      <w:rPr>
        <w:rStyle w:val="22"/>
        <w:rFonts w:hint="eastAsia" w:ascii="宋体" w:hAnsi="宋体"/>
        <w:sz w:val="20"/>
      </w:rPr>
      <w:t xml:space="preserve">  </w:t>
    </w:r>
    <w:r>
      <w:rPr>
        <w:rFonts w:ascii="宋体" w:hAnsi="宋体"/>
        <w:sz w:val="26"/>
        <w:szCs w:val="26"/>
      </w:rPr>
      <w:fldChar w:fldCharType="begin"/>
    </w:r>
    <w:r>
      <w:rPr>
        <w:rStyle w:val="22"/>
        <w:rFonts w:ascii="宋体" w:hAnsi="宋体"/>
        <w:sz w:val="26"/>
        <w:szCs w:val="26"/>
      </w:rPr>
      <w:instrText xml:space="preserve">PAGE  </w:instrText>
    </w:r>
    <w:r>
      <w:rPr>
        <w:rFonts w:ascii="宋体" w:hAnsi="宋体"/>
        <w:sz w:val="26"/>
        <w:szCs w:val="26"/>
      </w:rPr>
      <w:fldChar w:fldCharType="separate"/>
    </w:r>
    <w:r>
      <w:rPr>
        <w:rStyle w:val="22"/>
        <w:rFonts w:ascii="宋体" w:hAnsi="宋体"/>
        <w:sz w:val="26"/>
        <w:szCs w:val="26"/>
      </w:rPr>
      <w:t>19</w:t>
    </w:r>
    <w:r>
      <w:rPr>
        <w:rFonts w:ascii="宋体" w:hAnsi="宋体"/>
        <w:sz w:val="26"/>
        <w:szCs w:val="26"/>
      </w:rPr>
      <w:fldChar w:fldCharType="end"/>
    </w:r>
    <w:r>
      <w:rPr>
        <w:rStyle w:val="22"/>
        <w:rFonts w:hint="eastAsia" w:ascii="宋体" w:hAnsi="宋体"/>
        <w:sz w:val="20"/>
      </w:rPr>
      <w:t xml:space="preserve">  </w:t>
    </w:r>
    <w:r>
      <w:rPr>
        <w:rStyle w:val="22"/>
        <w:rFonts w:hint="eastAsia" w:ascii="宋体" w:hAnsi="宋体"/>
        <w:sz w:val="28"/>
        <w:szCs w:val="28"/>
      </w:rPr>
      <w:t>—</w:t>
    </w:r>
  </w:p>
  <w:p>
    <w:pPr>
      <w:pStyle w:val="12"/>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ind w:firstLine="560"/>
      <w:rPr>
        <w:rStyle w:val="22"/>
        <w:rFonts w:ascii="宋体" w:hAnsi="宋体"/>
        <w:sz w:val="28"/>
        <w:szCs w:val="28"/>
      </w:rPr>
    </w:pPr>
    <w:r>
      <w:rPr>
        <w:rStyle w:val="22"/>
        <w:rFonts w:hint="eastAsia" w:ascii="宋体" w:hAnsi="宋体"/>
        <w:sz w:val="28"/>
        <w:szCs w:val="28"/>
      </w:rPr>
      <w:t>—</w:t>
    </w:r>
    <w:r>
      <w:rPr>
        <w:rStyle w:val="22"/>
        <w:rFonts w:hint="eastAsia" w:ascii="宋体" w:hAnsi="宋体"/>
        <w:sz w:val="20"/>
      </w:rPr>
      <w:t xml:space="preserve">  </w:t>
    </w:r>
    <w:r>
      <w:rPr>
        <w:rFonts w:ascii="宋体" w:hAnsi="宋体"/>
        <w:sz w:val="26"/>
        <w:szCs w:val="26"/>
      </w:rPr>
      <w:fldChar w:fldCharType="begin"/>
    </w:r>
    <w:r>
      <w:rPr>
        <w:rStyle w:val="22"/>
        <w:rFonts w:ascii="宋体" w:hAnsi="宋体"/>
        <w:sz w:val="26"/>
        <w:szCs w:val="26"/>
      </w:rPr>
      <w:instrText xml:space="preserve">PAGE  </w:instrText>
    </w:r>
    <w:r>
      <w:rPr>
        <w:rFonts w:ascii="宋体" w:hAnsi="宋体"/>
        <w:sz w:val="26"/>
        <w:szCs w:val="26"/>
      </w:rPr>
      <w:fldChar w:fldCharType="separate"/>
    </w:r>
    <w:r>
      <w:rPr>
        <w:rStyle w:val="22"/>
        <w:rFonts w:ascii="宋体" w:hAnsi="宋体"/>
        <w:sz w:val="26"/>
        <w:szCs w:val="26"/>
      </w:rPr>
      <w:t>39</w:t>
    </w:r>
    <w:r>
      <w:rPr>
        <w:rFonts w:ascii="宋体" w:hAnsi="宋体"/>
        <w:sz w:val="26"/>
        <w:szCs w:val="26"/>
      </w:rPr>
      <w:fldChar w:fldCharType="end"/>
    </w:r>
    <w:r>
      <w:rPr>
        <w:rStyle w:val="22"/>
        <w:rFonts w:hint="eastAsia" w:ascii="宋体" w:hAnsi="宋体"/>
        <w:sz w:val="20"/>
      </w:rPr>
      <w:t xml:space="preserve">  </w:t>
    </w:r>
    <w:r>
      <w:rPr>
        <w:rStyle w:val="22"/>
        <w:rFonts w:hint="eastAsia" w:ascii="宋体" w:hAnsi="宋体"/>
        <w:sz w:val="28"/>
        <w:szCs w:val="28"/>
      </w:rPr>
      <w:t>—</w:t>
    </w:r>
  </w:p>
  <w:p>
    <w:pPr>
      <w:pStyle w:val="12"/>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ind w:firstLine="560"/>
      <w:rPr>
        <w:rStyle w:val="22"/>
        <w:rFonts w:ascii="宋体" w:hAnsi="宋体"/>
        <w:sz w:val="28"/>
        <w:szCs w:val="28"/>
      </w:rPr>
    </w:pPr>
    <w:r>
      <w:rPr>
        <w:rStyle w:val="22"/>
        <w:rFonts w:hint="eastAsia" w:ascii="宋体" w:hAnsi="宋体"/>
        <w:sz w:val="28"/>
        <w:szCs w:val="28"/>
      </w:rPr>
      <w:t>—</w:t>
    </w:r>
    <w:r>
      <w:rPr>
        <w:rStyle w:val="22"/>
        <w:rFonts w:hint="eastAsia" w:ascii="宋体" w:hAnsi="宋体"/>
        <w:sz w:val="20"/>
      </w:rPr>
      <w:t xml:space="preserve">  </w:t>
    </w:r>
    <w:r>
      <w:rPr>
        <w:rFonts w:ascii="宋体" w:hAnsi="宋体"/>
        <w:sz w:val="26"/>
        <w:szCs w:val="26"/>
      </w:rPr>
      <w:fldChar w:fldCharType="begin"/>
    </w:r>
    <w:r>
      <w:rPr>
        <w:rStyle w:val="22"/>
        <w:rFonts w:ascii="宋体" w:hAnsi="宋体"/>
        <w:sz w:val="26"/>
        <w:szCs w:val="26"/>
      </w:rPr>
      <w:instrText xml:space="preserve">PAGE  </w:instrText>
    </w:r>
    <w:r>
      <w:rPr>
        <w:rFonts w:ascii="宋体" w:hAnsi="宋体"/>
        <w:sz w:val="26"/>
        <w:szCs w:val="26"/>
      </w:rPr>
      <w:fldChar w:fldCharType="separate"/>
    </w:r>
    <w:r>
      <w:rPr>
        <w:rStyle w:val="22"/>
        <w:rFonts w:ascii="宋体" w:hAnsi="宋体"/>
        <w:sz w:val="26"/>
        <w:szCs w:val="26"/>
      </w:rPr>
      <w:t>40</w:t>
    </w:r>
    <w:r>
      <w:rPr>
        <w:rFonts w:ascii="宋体" w:hAnsi="宋体"/>
        <w:sz w:val="26"/>
        <w:szCs w:val="26"/>
      </w:rPr>
      <w:fldChar w:fldCharType="end"/>
    </w:r>
    <w:r>
      <w:rPr>
        <w:rStyle w:val="22"/>
        <w:rFonts w:hint="eastAsia" w:ascii="宋体" w:hAnsi="宋体"/>
        <w:sz w:val="20"/>
      </w:rPr>
      <w:t xml:space="preserve">  </w:t>
    </w:r>
    <w:r>
      <w:rPr>
        <w:rStyle w:val="22"/>
        <w:rFonts w:hint="eastAsia" w:ascii="宋体" w:hAnsi="宋体"/>
        <w:sz w:val="28"/>
        <w:szCs w:val="28"/>
      </w:rPr>
      <w:t>—</w:t>
    </w:r>
  </w:p>
  <w:p>
    <w:pPr>
      <w:pStyle w:val="12"/>
      <w:ind w:right="360" w:firstLine="360"/>
      <w:jc w:val="center"/>
    </w:pPr>
  </w:p>
</w:ft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attachedTemplate r:id="rId1"/>
  <w:documentProtection w:edit="trackedChanges" w:enforcement="0"/>
  <w:defaultTabStop w:val="420"/>
  <w:doNotHyphenateCaps/>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0OGJjNjI2ZDNjOGQ2NmM4ZGViZGNlOTE4ODJiNDYifQ=="/>
  </w:docVars>
  <w:rsids>
    <w:rsidRoot w:val="00A14947"/>
    <w:rsid w:val="0000064D"/>
    <w:rsid w:val="0000181D"/>
    <w:rsid w:val="00002F0C"/>
    <w:rsid w:val="00004C9B"/>
    <w:rsid w:val="000060B3"/>
    <w:rsid w:val="00010CFA"/>
    <w:rsid w:val="000113C1"/>
    <w:rsid w:val="00011D05"/>
    <w:rsid w:val="0001257B"/>
    <w:rsid w:val="00016CC3"/>
    <w:rsid w:val="0002082C"/>
    <w:rsid w:val="00020920"/>
    <w:rsid w:val="00020F6F"/>
    <w:rsid w:val="0002155B"/>
    <w:rsid w:val="00023A72"/>
    <w:rsid w:val="00024B1D"/>
    <w:rsid w:val="00024D7C"/>
    <w:rsid w:val="000255EC"/>
    <w:rsid w:val="00025F59"/>
    <w:rsid w:val="00030D16"/>
    <w:rsid w:val="00031E4B"/>
    <w:rsid w:val="000322F1"/>
    <w:rsid w:val="00032C11"/>
    <w:rsid w:val="00033180"/>
    <w:rsid w:val="0003396C"/>
    <w:rsid w:val="00033D5E"/>
    <w:rsid w:val="000341F8"/>
    <w:rsid w:val="000359E0"/>
    <w:rsid w:val="00036D90"/>
    <w:rsid w:val="000374BA"/>
    <w:rsid w:val="00037858"/>
    <w:rsid w:val="00037ABE"/>
    <w:rsid w:val="0004364B"/>
    <w:rsid w:val="00043AD7"/>
    <w:rsid w:val="000442BC"/>
    <w:rsid w:val="00044EEC"/>
    <w:rsid w:val="000459E4"/>
    <w:rsid w:val="000461B3"/>
    <w:rsid w:val="00050CED"/>
    <w:rsid w:val="00050E58"/>
    <w:rsid w:val="000520CC"/>
    <w:rsid w:val="0005368D"/>
    <w:rsid w:val="00053E97"/>
    <w:rsid w:val="000542C0"/>
    <w:rsid w:val="0005480F"/>
    <w:rsid w:val="00054C3F"/>
    <w:rsid w:val="00055A3B"/>
    <w:rsid w:val="000566F8"/>
    <w:rsid w:val="00056DD8"/>
    <w:rsid w:val="0005707C"/>
    <w:rsid w:val="000574DC"/>
    <w:rsid w:val="00061B1F"/>
    <w:rsid w:val="00062267"/>
    <w:rsid w:val="00062978"/>
    <w:rsid w:val="00062A99"/>
    <w:rsid w:val="000649FA"/>
    <w:rsid w:val="00065D89"/>
    <w:rsid w:val="00066ED2"/>
    <w:rsid w:val="0006787F"/>
    <w:rsid w:val="0007124F"/>
    <w:rsid w:val="00072586"/>
    <w:rsid w:val="00072AC3"/>
    <w:rsid w:val="000733C4"/>
    <w:rsid w:val="00074783"/>
    <w:rsid w:val="000755C7"/>
    <w:rsid w:val="00076058"/>
    <w:rsid w:val="00076357"/>
    <w:rsid w:val="000763C0"/>
    <w:rsid w:val="00077CE7"/>
    <w:rsid w:val="00077EAC"/>
    <w:rsid w:val="0008070B"/>
    <w:rsid w:val="00080A91"/>
    <w:rsid w:val="000810AC"/>
    <w:rsid w:val="00081543"/>
    <w:rsid w:val="00081A02"/>
    <w:rsid w:val="00081E33"/>
    <w:rsid w:val="00082231"/>
    <w:rsid w:val="0008269F"/>
    <w:rsid w:val="000834B1"/>
    <w:rsid w:val="00084192"/>
    <w:rsid w:val="00085EDC"/>
    <w:rsid w:val="00085FBA"/>
    <w:rsid w:val="00086240"/>
    <w:rsid w:val="000865C8"/>
    <w:rsid w:val="000904B0"/>
    <w:rsid w:val="00092D38"/>
    <w:rsid w:val="00093016"/>
    <w:rsid w:val="0009377B"/>
    <w:rsid w:val="000938FA"/>
    <w:rsid w:val="000940D2"/>
    <w:rsid w:val="00095B7F"/>
    <w:rsid w:val="00095D0D"/>
    <w:rsid w:val="00096029"/>
    <w:rsid w:val="000A0E01"/>
    <w:rsid w:val="000A1624"/>
    <w:rsid w:val="000A20C9"/>
    <w:rsid w:val="000A2F46"/>
    <w:rsid w:val="000A3CF4"/>
    <w:rsid w:val="000A4D4F"/>
    <w:rsid w:val="000A6425"/>
    <w:rsid w:val="000A7BA8"/>
    <w:rsid w:val="000A7DC0"/>
    <w:rsid w:val="000B00BE"/>
    <w:rsid w:val="000B02BF"/>
    <w:rsid w:val="000B058F"/>
    <w:rsid w:val="000B0A0C"/>
    <w:rsid w:val="000B13A1"/>
    <w:rsid w:val="000B2B4C"/>
    <w:rsid w:val="000B305D"/>
    <w:rsid w:val="000B34B1"/>
    <w:rsid w:val="000B4467"/>
    <w:rsid w:val="000B4DB9"/>
    <w:rsid w:val="000B7111"/>
    <w:rsid w:val="000C045E"/>
    <w:rsid w:val="000C0956"/>
    <w:rsid w:val="000C09AC"/>
    <w:rsid w:val="000C0A87"/>
    <w:rsid w:val="000C0C00"/>
    <w:rsid w:val="000C121F"/>
    <w:rsid w:val="000C2FAA"/>
    <w:rsid w:val="000C4103"/>
    <w:rsid w:val="000C42B5"/>
    <w:rsid w:val="000C5191"/>
    <w:rsid w:val="000C767F"/>
    <w:rsid w:val="000C7B6E"/>
    <w:rsid w:val="000D15BA"/>
    <w:rsid w:val="000D1671"/>
    <w:rsid w:val="000D19CF"/>
    <w:rsid w:val="000D24E2"/>
    <w:rsid w:val="000D3DD8"/>
    <w:rsid w:val="000D4576"/>
    <w:rsid w:val="000D4A3A"/>
    <w:rsid w:val="000D50D6"/>
    <w:rsid w:val="000D52BF"/>
    <w:rsid w:val="000D5A44"/>
    <w:rsid w:val="000D5F30"/>
    <w:rsid w:val="000D74CB"/>
    <w:rsid w:val="000E0733"/>
    <w:rsid w:val="000E0C39"/>
    <w:rsid w:val="000E1DA8"/>
    <w:rsid w:val="000E1DAD"/>
    <w:rsid w:val="000E1E63"/>
    <w:rsid w:val="000E2046"/>
    <w:rsid w:val="000E22EB"/>
    <w:rsid w:val="000E2684"/>
    <w:rsid w:val="000E289E"/>
    <w:rsid w:val="000E3000"/>
    <w:rsid w:val="000E375D"/>
    <w:rsid w:val="000E3BD7"/>
    <w:rsid w:val="000E3ED2"/>
    <w:rsid w:val="000E5616"/>
    <w:rsid w:val="000E63F7"/>
    <w:rsid w:val="000E6E5F"/>
    <w:rsid w:val="000F144F"/>
    <w:rsid w:val="000F1B58"/>
    <w:rsid w:val="000F1D89"/>
    <w:rsid w:val="000F28FC"/>
    <w:rsid w:val="000F295F"/>
    <w:rsid w:val="000F2F4B"/>
    <w:rsid w:val="000F32A5"/>
    <w:rsid w:val="000F34D9"/>
    <w:rsid w:val="000F366C"/>
    <w:rsid w:val="000F3C29"/>
    <w:rsid w:val="000F52A2"/>
    <w:rsid w:val="000F5BC3"/>
    <w:rsid w:val="000F6E6B"/>
    <w:rsid w:val="000F7221"/>
    <w:rsid w:val="00100222"/>
    <w:rsid w:val="00101BC5"/>
    <w:rsid w:val="00101E9D"/>
    <w:rsid w:val="001040A2"/>
    <w:rsid w:val="00106523"/>
    <w:rsid w:val="00106676"/>
    <w:rsid w:val="001079E5"/>
    <w:rsid w:val="00110FBB"/>
    <w:rsid w:val="00111ACB"/>
    <w:rsid w:val="00113990"/>
    <w:rsid w:val="0011408C"/>
    <w:rsid w:val="001154D6"/>
    <w:rsid w:val="00116E96"/>
    <w:rsid w:val="001176A3"/>
    <w:rsid w:val="0012147D"/>
    <w:rsid w:val="00122520"/>
    <w:rsid w:val="0012369A"/>
    <w:rsid w:val="00123AAA"/>
    <w:rsid w:val="001242E4"/>
    <w:rsid w:val="00125395"/>
    <w:rsid w:val="00126A21"/>
    <w:rsid w:val="0013011E"/>
    <w:rsid w:val="00130ECA"/>
    <w:rsid w:val="00131F42"/>
    <w:rsid w:val="0013375A"/>
    <w:rsid w:val="00133ED6"/>
    <w:rsid w:val="00135510"/>
    <w:rsid w:val="001357F1"/>
    <w:rsid w:val="00135E26"/>
    <w:rsid w:val="001376FE"/>
    <w:rsid w:val="00140FA8"/>
    <w:rsid w:val="001428C6"/>
    <w:rsid w:val="00142FEB"/>
    <w:rsid w:val="00143A2D"/>
    <w:rsid w:val="00145A41"/>
    <w:rsid w:val="00145CEB"/>
    <w:rsid w:val="00146079"/>
    <w:rsid w:val="00146431"/>
    <w:rsid w:val="00151675"/>
    <w:rsid w:val="00153544"/>
    <w:rsid w:val="00153661"/>
    <w:rsid w:val="001538CA"/>
    <w:rsid w:val="001540AA"/>
    <w:rsid w:val="00155384"/>
    <w:rsid w:val="00157435"/>
    <w:rsid w:val="00157F43"/>
    <w:rsid w:val="001603E1"/>
    <w:rsid w:val="00160C4F"/>
    <w:rsid w:val="001619C1"/>
    <w:rsid w:val="001620AE"/>
    <w:rsid w:val="0016228B"/>
    <w:rsid w:val="001624CB"/>
    <w:rsid w:val="00162769"/>
    <w:rsid w:val="00164327"/>
    <w:rsid w:val="00164808"/>
    <w:rsid w:val="0017158B"/>
    <w:rsid w:val="001725B9"/>
    <w:rsid w:val="00173088"/>
    <w:rsid w:val="0017433B"/>
    <w:rsid w:val="0017504D"/>
    <w:rsid w:val="00175166"/>
    <w:rsid w:val="00175E63"/>
    <w:rsid w:val="00175F57"/>
    <w:rsid w:val="0017671A"/>
    <w:rsid w:val="00176CE8"/>
    <w:rsid w:val="00177422"/>
    <w:rsid w:val="00177B15"/>
    <w:rsid w:val="00181F5D"/>
    <w:rsid w:val="0018223B"/>
    <w:rsid w:val="00182C4D"/>
    <w:rsid w:val="00184590"/>
    <w:rsid w:val="00184EF1"/>
    <w:rsid w:val="001870D1"/>
    <w:rsid w:val="0018781E"/>
    <w:rsid w:val="00190AA9"/>
    <w:rsid w:val="00190C5B"/>
    <w:rsid w:val="00190DF0"/>
    <w:rsid w:val="00191427"/>
    <w:rsid w:val="0019262D"/>
    <w:rsid w:val="001929DF"/>
    <w:rsid w:val="0019379A"/>
    <w:rsid w:val="00193BBA"/>
    <w:rsid w:val="00194AF1"/>
    <w:rsid w:val="00194BF0"/>
    <w:rsid w:val="00195AD2"/>
    <w:rsid w:val="00197DAC"/>
    <w:rsid w:val="001A0463"/>
    <w:rsid w:val="001A0A0D"/>
    <w:rsid w:val="001A1B35"/>
    <w:rsid w:val="001A21D9"/>
    <w:rsid w:val="001A2883"/>
    <w:rsid w:val="001A2AFE"/>
    <w:rsid w:val="001A48A2"/>
    <w:rsid w:val="001A6013"/>
    <w:rsid w:val="001A673A"/>
    <w:rsid w:val="001A6F61"/>
    <w:rsid w:val="001A6FDE"/>
    <w:rsid w:val="001A7459"/>
    <w:rsid w:val="001A755E"/>
    <w:rsid w:val="001B187A"/>
    <w:rsid w:val="001B1EB3"/>
    <w:rsid w:val="001B2D58"/>
    <w:rsid w:val="001B4399"/>
    <w:rsid w:val="001B486F"/>
    <w:rsid w:val="001B52CC"/>
    <w:rsid w:val="001B54F0"/>
    <w:rsid w:val="001B5E69"/>
    <w:rsid w:val="001B6C8C"/>
    <w:rsid w:val="001B7001"/>
    <w:rsid w:val="001B72B8"/>
    <w:rsid w:val="001C0023"/>
    <w:rsid w:val="001C0DE9"/>
    <w:rsid w:val="001C1B90"/>
    <w:rsid w:val="001C2FDF"/>
    <w:rsid w:val="001C4039"/>
    <w:rsid w:val="001C461C"/>
    <w:rsid w:val="001C46C8"/>
    <w:rsid w:val="001C537B"/>
    <w:rsid w:val="001C69B3"/>
    <w:rsid w:val="001C7692"/>
    <w:rsid w:val="001D06B7"/>
    <w:rsid w:val="001D2EC3"/>
    <w:rsid w:val="001D3527"/>
    <w:rsid w:val="001D393E"/>
    <w:rsid w:val="001D4378"/>
    <w:rsid w:val="001D5197"/>
    <w:rsid w:val="001D5595"/>
    <w:rsid w:val="001D63B7"/>
    <w:rsid w:val="001D646C"/>
    <w:rsid w:val="001D6860"/>
    <w:rsid w:val="001D7874"/>
    <w:rsid w:val="001D7F22"/>
    <w:rsid w:val="001E02EF"/>
    <w:rsid w:val="001E0669"/>
    <w:rsid w:val="001E09FE"/>
    <w:rsid w:val="001E0A1A"/>
    <w:rsid w:val="001E2D4A"/>
    <w:rsid w:val="001E380C"/>
    <w:rsid w:val="001E38E5"/>
    <w:rsid w:val="001E54A2"/>
    <w:rsid w:val="001E5B33"/>
    <w:rsid w:val="001E64A7"/>
    <w:rsid w:val="001E702E"/>
    <w:rsid w:val="001E7E19"/>
    <w:rsid w:val="001F00FF"/>
    <w:rsid w:val="001F0C8E"/>
    <w:rsid w:val="001F0F17"/>
    <w:rsid w:val="001F1331"/>
    <w:rsid w:val="001F1DC2"/>
    <w:rsid w:val="001F322E"/>
    <w:rsid w:val="001F3347"/>
    <w:rsid w:val="001F3448"/>
    <w:rsid w:val="001F3D50"/>
    <w:rsid w:val="001F5F4D"/>
    <w:rsid w:val="001F66DB"/>
    <w:rsid w:val="001F69E4"/>
    <w:rsid w:val="001F6C68"/>
    <w:rsid w:val="001F7581"/>
    <w:rsid w:val="00200412"/>
    <w:rsid w:val="0020189E"/>
    <w:rsid w:val="00201E0B"/>
    <w:rsid w:val="002025EF"/>
    <w:rsid w:val="002034F7"/>
    <w:rsid w:val="002051A9"/>
    <w:rsid w:val="0020537A"/>
    <w:rsid w:val="00206224"/>
    <w:rsid w:val="00210C6D"/>
    <w:rsid w:val="002125B4"/>
    <w:rsid w:val="002129AA"/>
    <w:rsid w:val="0021353D"/>
    <w:rsid w:val="002155B8"/>
    <w:rsid w:val="002165BE"/>
    <w:rsid w:val="0021662A"/>
    <w:rsid w:val="002178ED"/>
    <w:rsid w:val="002201BD"/>
    <w:rsid w:val="0022131A"/>
    <w:rsid w:val="00222D1D"/>
    <w:rsid w:val="00222D74"/>
    <w:rsid w:val="0022340D"/>
    <w:rsid w:val="002247E5"/>
    <w:rsid w:val="00224839"/>
    <w:rsid w:val="002249B2"/>
    <w:rsid w:val="00225CCF"/>
    <w:rsid w:val="00225F74"/>
    <w:rsid w:val="00226574"/>
    <w:rsid w:val="00227458"/>
    <w:rsid w:val="002278EC"/>
    <w:rsid w:val="00227C7F"/>
    <w:rsid w:val="00230D73"/>
    <w:rsid w:val="00231136"/>
    <w:rsid w:val="00231294"/>
    <w:rsid w:val="002314CB"/>
    <w:rsid w:val="00231ACD"/>
    <w:rsid w:val="00232407"/>
    <w:rsid w:val="00232764"/>
    <w:rsid w:val="0023280E"/>
    <w:rsid w:val="00232872"/>
    <w:rsid w:val="002332C7"/>
    <w:rsid w:val="00235DD5"/>
    <w:rsid w:val="002377D1"/>
    <w:rsid w:val="00240D3D"/>
    <w:rsid w:val="00240FD0"/>
    <w:rsid w:val="002411A2"/>
    <w:rsid w:val="00241E37"/>
    <w:rsid w:val="00242599"/>
    <w:rsid w:val="00242BA7"/>
    <w:rsid w:val="00243E5F"/>
    <w:rsid w:val="00244048"/>
    <w:rsid w:val="00244728"/>
    <w:rsid w:val="00244EA0"/>
    <w:rsid w:val="0024611C"/>
    <w:rsid w:val="0024618C"/>
    <w:rsid w:val="00246661"/>
    <w:rsid w:val="00246A56"/>
    <w:rsid w:val="002506BC"/>
    <w:rsid w:val="0025230F"/>
    <w:rsid w:val="0025299A"/>
    <w:rsid w:val="00254345"/>
    <w:rsid w:val="00254C61"/>
    <w:rsid w:val="002564CA"/>
    <w:rsid w:val="002567B9"/>
    <w:rsid w:val="00261245"/>
    <w:rsid w:val="00261A15"/>
    <w:rsid w:val="00262E80"/>
    <w:rsid w:val="00263B0C"/>
    <w:rsid w:val="002643D9"/>
    <w:rsid w:val="00264557"/>
    <w:rsid w:val="00264E09"/>
    <w:rsid w:val="00266F58"/>
    <w:rsid w:val="002673FE"/>
    <w:rsid w:val="00267D28"/>
    <w:rsid w:val="00267E66"/>
    <w:rsid w:val="0027061A"/>
    <w:rsid w:val="00271258"/>
    <w:rsid w:val="002721A3"/>
    <w:rsid w:val="0027274F"/>
    <w:rsid w:val="002746B7"/>
    <w:rsid w:val="00274A45"/>
    <w:rsid w:val="0027655C"/>
    <w:rsid w:val="00276A77"/>
    <w:rsid w:val="00276D3D"/>
    <w:rsid w:val="002800AB"/>
    <w:rsid w:val="002805AB"/>
    <w:rsid w:val="002805D3"/>
    <w:rsid w:val="00280924"/>
    <w:rsid w:val="00280F36"/>
    <w:rsid w:val="002816CB"/>
    <w:rsid w:val="00282CDB"/>
    <w:rsid w:val="002835D5"/>
    <w:rsid w:val="00284204"/>
    <w:rsid w:val="00285043"/>
    <w:rsid w:val="002850A0"/>
    <w:rsid w:val="002865AD"/>
    <w:rsid w:val="002866DA"/>
    <w:rsid w:val="0028764D"/>
    <w:rsid w:val="002905EA"/>
    <w:rsid w:val="0029108D"/>
    <w:rsid w:val="00291773"/>
    <w:rsid w:val="00292A05"/>
    <w:rsid w:val="00293F90"/>
    <w:rsid w:val="002940E3"/>
    <w:rsid w:val="00294E86"/>
    <w:rsid w:val="0029578B"/>
    <w:rsid w:val="002959AD"/>
    <w:rsid w:val="002A1268"/>
    <w:rsid w:val="002A126F"/>
    <w:rsid w:val="002A168C"/>
    <w:rsid w:val="002A2A78"/>
    <w:rsid w:val="002A2BDE"/>
    <w:rsid w:val="002A3DC7"/>
    <w:rsid w:val="002A40AA"/>
    <w:rsid w:val="002A58C9"/>
    <w:rsid w:val="002A5B71"/>
    <w:rsid w:val="002A69E6"/>
    <w:rsid w:val="002A6C0B"/>
    <w:rsid w:val="002A75E4"/>
    <w:rsid w:val="002B0040"/>
    <w:rsid w:val="002B0425"/>
    <w:rsid w:val="002B075D"/>
    <w:rsid w:val="002B118B"/>
    <w:rsid w:val="002B1861"/>
    <w:rsid w:val="002B4299"/>
    <w:rsid w:val="002B49E2"/>
    <w:rsid w:val="002B5AE0"/>
    <w:rsid w:val="002B6977"/>
    <w:rsid w:val="002B6F0C"/>
    <w:rsid w:val="002B79B6"/>
    <w:rsid w:val="002B7B00"/>
    <w:rsid w:val="002B7C44"/>
    <w:rsid w:val="002C0442"/>
    <w:rsid w:val="002C0933"/>
    <w:rsid w:val="002C1086"/>
    <w:rsid w:val="002C10F8"/>
    <w:rsid w:val="002C11D4"/>
    <w:rsid w:val="002C2777"/>
    <w:rsid w:val="002C2B17"/>
    <w:rsid w:val="002C31C0"/>
    <w:rsid w:val="002C4B7C"/>
    <w:rsid w:val="002C579E"/>
    <w:rsid w:val="002C6125"/>
    <w:rsid w:val="002C7719"/>
    <w:rsid w:val="002D166D"/>
    <w:rsid w:val="002D1FD8"/>
    <w:rsid w:val="002D2375"/>
    <w:rsid w:val="002D2A28"/>
    <w:rsid w:val="002D3A44"/>
    <w:rsid w:val="002D3DD0"/>
    <w:rsid w:val="002D4143"/>
    <w:rsid w:val="002D63B6"/>
    <w:rsid w:val="002D6B06"/>
    <w:rsid w:val="002E0239"/>
    <w:rsid w:val="002E1F3A"/>
    <w:rsid w:val="002E2084"/>
    <w:rsid w:val="002E2202"/>
    <w:rsid w:val="002E26EB"/>
    <w:rsid w:val="002E298A"/>
    <w:rsid w:val="002E2D86"/>
    <w:rsid w:val="002E2DB5"/>
    <w:rsid w:val="002E335E"/>
    <w:rsid w:val="002E4680"/>
    <w:rsid w:val="002E4ED9"/>
    <w:rsid w:val="002E5F83"/>
    <w:rsid w:val="002E60B5"/>
    <w:rsid w:val="002E6EE3"/>
    <w:rsid w:val="002E7757"/>
    <w:rsid w:val="002F08AB"/>
    <w:rsid w:val="002F0BCC"/>
    <w:rsid w:val="002F3014"/>
    <w:rsid w:val="002F3309"/>
    <w:rsid w:val="002F4EBA"/>
    <w:rsid w:val="002F653A"/>
    <w:rsid w:val="002F729A"/>
    <w:rsid w:val="002F7F0F"/>
    <w:rsid w:val="00300B30"/>
    <w:rsid w:val="003014F6"/>
    <w:rsid w:val="00301978"/>
    <w:rsid w:val="0030275F"/>
    <w:rsid w:val="00302A78"/>
    <w:rsid w:val="00302C75"/>
    <w:rsid w:val="00302ECD"/>
    <w:rsid w:val="0030332C"/>
    <w:rsid w:val="003051C2"/>
    <w:rsid w:val="00305E51"/>
    <w:rsid w:val="00306241"/>
    <w:rsid w:val="003073A7"/>
    <w:rsid w:val="00310A95"/>
    <w:rsid w:val="0031141C"/>
    <w:rsid w:val="00311AEE"/>
    <w:rsid w:val="00312296"/>
    <w:rsid w:val="00313878"/>
    <w:rsid w:val="00313E08"/>
    <w:rsid w:val="00314299"/>
    <w:rsid w:val="00314F0E"/>
    <w:rsid w:val="0031562C"/>
    <w:rsid w:val="00317D43"/>
    <w:rsid w:val="003218D1"/>
    <w:rsid w:val="00321CF9"/>
    <w:rsid w:val="00321D8E"/>
    <w:rsid w:val="00325928"/>
    <w:rsid w:val="0033001B"/>
    <w:rsid w:val="003307D8"/>
    <w:rsid w:val="0033171A"/>
    <w:rsid w:val="00332517"/>
    <w:rsid w:val="00332863"/>
    <w:rsid w:val="00334729"/>
    <w:rsid w:val="00334E82"/>
    <w:rsid w:val="00334F8D"/>
    <w:rsid w:val="00334FDC"/>
    <w:rsid w:val="00336462"/>
    <w:rsid w:val="0033684D"/>
    <w:rsid w:val="0033714D"/>
    <w:rsid w:val="00337B42"/>
    <w:rsid w:val="0034036C"/>
    <w:rsid w:val="00341B42"/>
    <w:rsid w:val="00341E10"/>
    <w:rsid w:val="0034348F"/>
    <w:rsid w:val="00343C5F"/>
    <w:rsid w:val="00344311"/>
    <w:rsid w:val="00344D37"/>
    <w:rsid w:val="003522C7"/>
    <w:rsid w:val="003537D3"/>
    <w:rsid w:val="00354BB6"/>
    <w:rsid w:val="003557BA"/>
    <w:rsid w:val="00355FC9"/>
    <w:rsid w:val="0035609F"/>
    <w:rsid w:val="00356653"/>
    <w:rsid w:val="0035743F"/>
    <w:rsid w:val="003577A8"/>
    <w:rsid w:val="0035789B"/>
    <w:rsid w:val="00357BE2"/>
    <w:rsid w:val="00357BF5"/>
    <w:rsid w:val="00360024"/>
    <w:rsid w:val="0036170C"/>
    <w:rsid w:val="003625D5"/>
    <w:rsid w:val="00362AE8"/>
    <w:rsid w:val="00363B3C"/>
    <w:rsid w:val="00366E0F"/>
    <w:rsid w:val="00366E52"/>
    <w:rsid w:val="00370508"/>
    <w:rsid w:val="00370F6C"/>
    <w:rsid w:val="003710DE"/>
    <w:rsid w:val="00371199"/>
    <w:rsid w:val="00372EA2"/>
    <w:rsid w:val="0037520E"/>
    <w:rsid w:val="003752CE"/>
    <w:rsid w:val="00375BDA"/>
    <w:rsid w:val="00377639"/>
    <w:rsid w:val="00377A86"/>
    <w:rsid w:val="00381A72"/>
    <w:rsid w:val="00383477"/>
    <w:rsid w:val="00383616"/>
    <w:rsid w:val="00384676"/>
    <w:rsid w:val="00385E5C"/>
    <w:rsid w:val="00386C6D"/>
    <w:rsid w:val="0038717C"/>
    <w:rsid w:val="00387253"/>
    <w:rsid w:val="003877F9"/>
    <w:rsid w:val="0038792C"/>
    <w:rsid w:val="00387F70"/>
    <w:rsid w:val="00390857"/>
    <w:rsid w:val="00391F2D"/>
    <w:rsid w:val="00393BC9"/>
    <w:rsid w:val="0039445B"/>
    <w:rsid w:val="0039445F"/>
    <w:rsid w:val="00396537"/>
    <w:rsid w:val="003965B6"/>
    <w:rsid w:val="00397470"/>
    <w:rsid w:val="003A36D3"/>
    <w:rsid w:val="003A43C1"/>
    <w:rsid w:val="003A4BF3"/>
    <w:rsid w:val="003A586E"/>
    <w:rsid w:val="003A6543"/>
    <w:rsid w:val="003A6D8B"/>
    <w:rsid w:val="003A76D5"/>
    <w:rsid w:val="003B09B5"/>
    <w:rsid w:val="003B1336"/>
    <w:rsid w:val="003B223C"/>
    <w:rsid w:val="003B2568"/>
    <w:rsid w:val="003B2603"/>
    <w:rsid w:val="003B3D7C"/>
    <w:rsid w:val="003B420D"/>
    <w:rsid w:val="003B42CB"/>
    <w:rsid w:val="003B614F"/>
    <w:rsid w:val="003C0414"/>
    <w:rsid w:val="003C0539"/>
    <w:rsid w:val="003C09F8"/>
    <w:rsid w:val="003C0A53"/>
    <w:rsid w:val="003C16B0"/>
    <w:rsid w:val="003C2FB0"/>
    <w:rsid w:val="003C39FD"/>
    <w:rsid w:val="003C3B06"/>
    <w:rsid w:val="003C3D72"/>
    <w:rsid w:val="003C3FA1"/>
    <w:rsid w:val="003C4BDA"/>
    <w:rsid w:val="003C519E"/>
    <w:rsid w:val="003C5295"/>
    <w:rsid w:val="003C5C6A"/>
    <w:rsid w:val="003C5D43"/>
    <w:rsid w:val="003C5E90"/>
    <w:rsid w:val="003C5F29"/>
    <w:rsid w:val="003C5F77"/>
    <w:rsid w:val="003C6C16"/>
    <w:rsid w:val="003D052B"/>
    <w:rsid w:val="003D1136"/>
    <w:rsid w:val="003D1601"/>
    <w:rsid w:val="003D38F3"/>
    <w:rsid w:val="003D3B74"/>
    <w:rsid w:val="003D4FA8"/>
    <w:rsid w:val="003D508C"/>
    <w:rsid w:val="003D5F11"/>
    <w:rsid w:val="003D5F45"/>
    <w:rsid w:val="003D5FC7"/>
    <w:rsid w:val="003D794D"/>
    <w:rsid w:val="003E0078"/>
    <w:rsid w:val="003E1A8D"/>
    <w:rsid w:val="003E251B"/>
    <w:rsid w:val="003E3058"/>
    <w:rsid w:val="003E54E1"/>
    <w:rsid w:val="003E76A9"/>
    <w:rsid w:val="003F030C"/>
    <w:rsid w:val="003F0809"/>
    <w:rsid w:val="003F149F"/>
    <w:rsid w:val="003F1E90"/>
    <w:rsid w:val="003F2CC0"/>
    <w:rsid w:val="003F4B5F"/>
    <w:rsid w:val="003F4B6A"/>
    <w:rsid w:val="003F53D0"/>
    <w:rsid w:val="003F5897"/>
    <w:rsid w:val="003F5BF2"/>
    <w:rsid w:val="003F649E"/>
    <w:rsid w:val="003F6A8C"/>
    <w:rsid w:val="003F755C"/>
    <w:rsid w:val="00400C5B"/>
    <w:rsid w:val="00401555"/>
    <w:rsid w:val="00402753"/>
    <w:rsid w:val="00404668"/>
    <w:rsid w:val="0040555A"/>
    <w:rsid w:val="00405D0D"/>
    <w:rsid w:val="00406C44"/>
    <w:rsid w:val="00406F01"/>
    <w:rsid w:val="00406FF9"/>
    <w:rsid w:val="0040701E"/>
    <w:rsid w:val="00407299"/>
    <w:rsid w:val="004077E1"/>
    <w:rsid w:val="004110F2"/>
    <w:rsid w:val="00412411"/>
    <w:rsid w:val="004125AE"/>
    <w:rsid w:val="00412CEA"/>
    <w:rsid w:val="0041340C"/>
    <w:rsid w:val="00413E79"/>
    <w:rsid w:val="0041490A"/>
    <w:rsid w:val="004168CB"/>
    <w:rsid w:val="00416D50"/>
    <w:rsid w:val="00416FD5"/>
    <w:rsid w:val="00417772"/>
    <w:rsid w:val="00417B8C"/>
    <w:rsid w:val="00420E6A"/>
    <w:rsid w:val="004217C4"/>
    <w:rsid w:val="00422232"/>
    <w:rsid w:val="00422AD5"/>
    <w:rsid w:val="004239B0"/>
    <w:rsid w:val="00423B7F"/>
    <w:rsid w:val="00425A9E"/>
    <w:rsid w:val="00425DF9"/>
    <w:rsid w:val="00426729"/>
    <w:rsid w:val="00426B5B"/>
    <w:rsid w:val="00426D6B"/>
    <w:rsid w:val="0043008A"/>
    <w:rsid w:val="0043034E"/>
    <w:rsid w:val="00431E6C"/>
    <w:rsid w:val="00432E5A"/>
    <w:rsid w:val="004333BF"/>
    <w:rsid w:val="0043382B"/>
    <w:rsid w:val="00433CE7"/>
    <w:rsid w:val="0043463E"/>
    <w:rsid w:val="00435246"/>
    <w:rsid w:val="0043552D"/>
    <w:rsid w:val="00436C5E"/>
    <w:rsid w:val="004407CD"/>
    <w:rsid w:val="004414C7"/>
    <w:rsid w:val="0044162F"/>
    <w:rsid w:val="00441E6F"/>
    <w:rsid w:val="004464D4"/>
    <w:rsid w:val="00446A87"/>
    <w:rsid w:val="00450921"/>
    <w:rsid w:val="004522AA"/>
    <w:rsid w:val="00452738"/>
    <w:rsid w:val="0045429E"/>
    <w:rsid w:val="00456091"/>
    <w:rsid w:val="00456FC3"/>
    <w:rsid w:val="00457F17"/>
    <w:rsid w:val="004603A7"/>
    <w:rsid w:val="0046134B"/>
    <w:rsid w:val="004617A4"/>
    <w:rsid w:val="004619EF"/>
    <w:rsid w:val="0046293A"/>
    <w:rsid w:val="00463639"/>
    <w:rsid w:val="004646D8"/>
    <w:rsid w:val="00465343"/>
    <w:rsid w:val="00466321"/>
    <w:rsid w:val="0046695D"/>
    <w:rsid w:val="004671D7"/>
    <w:rsid w:val="00467B24"/>
    <w:rsid w:val="00467CEC"/>
    <w:rsid w:val="00467FB4"/>
    <w:rsid w:val="004703D8"/>
    <w:rsid w:val="004705E0"/>
    <w:rsid w:val="00470E62"/>
    <w:rsid w:val="00471561"/>
    <w:rsid w:val="00471995"/>
    <w:rsid w:val="00471AEE"/>
    <w:rsid w:val="00471C81"/>
    <w:rsid w:val="00471F4B"/>
    <w:rsid w:val="00472467"/>
    <w:rsid w:val="0047284F"/>
    <w:rsid w:val="00474D8C"/>
    <w:rsid w:val="00476797"/>
    <w:rsid w:val="004768ED"/>
    <w:rsid w:val="004769FE"/>
    <w:rsid w:val="00476B88"/>
    <w:rsid w:val="00477B1E"/>
    <w:rsid w:val="00477FA3"/>
    <w:rsid w:val="00477FB4"/>
    <w:rsid w:val="00480D4D"/>
    <w:rsid w:val="00480E17"/>
    <w:rsid w:val="00481593"/>
    <w:rsid w:val="004823E6"/>
    <w:rsid w:val="00483F80"/>
    <w:rsid w:val="0048427B"/>
    <w:rsid w:val="00484665"/>
    <w:rsid w:val="00484B9B"/>
    <w:rsid w:val="004855F6"/>
    <w:rsid w:val="0048577D"/>
    <w:rsid w:val="004858E1"/>
    <w:rsid w:val="0048661E"/>
    <w:rsid w:val="00486D8A"/>
    <w:rsid w:val="00490300"/>
    <w:rsid w:val="00492CF8"/>
    <w:rsid w:val="00492D1D"/>
    <w:rsid w:val="00492E0D"/>
    <w:rsid w:val="0049355A"/>
    <w:rsid w:val="0049368A"/>
    <w:rsid w:val="004937E1"/>
    <w:rsid w:val="004940C5"/>
    <w:rsid w:val="00494670"/>
    <w:rsid w:val="0049497B"/>
    <w:rsid w:val="0049592A"/>
    <w:rsid w:val="004A21AC"/>
    <w:rsid w:val="004A3404"/>
    <w:rsid w:val="004A3405"/>
    <w:rsid w:val="004A3823"/>
    <w:rsid w:val="004A382D"/>
    <w:rsid w:val="004A411A"/>
    <w:rsid w:val="004A4205"/>
    <w:rsid w:val="004A4AA9"/>
    <w:rsid w:val="004A575E"/>
    <w:rsid w:val="004A5DA9"/>
    <w:rsid w:val="004B0F6C"/>
    <w:rsid w:val="004B1A81"/>
    <w:rsid w:val="004B65C1"/>
    <w:rsid w:val="004B6695"/>
    <w:rsid w:val="004C071C"/>
    <w:rsid w:val="004C0FA4"/>
    <w:rsid w:val="004C12A3"/>
    <w:rsid w:val="004C134A"/>
    <w:rsid w:val="004C1DD0"/>
    <w:rsid w:val="004C1DDC"/>
    <w:rsid w:val="004C24AD"/>
    <w:rsid w:val="004C274D"/>
    <w:rsid w:val="004C4188"/>
    <w:rsid w:val="004D1E46"/>
    <w:rsid w:val="004D2724"/>
    <w:rsid w:val="004D2ABD"/>
    <w:rsid w:val="004D2E38"/>
    <w:rsid w:val="004D3DA7"/>
    <w:rsid w:val="004D4B69"/>
    <w:rsid w:val="004D4F51"/>
    <w:rsid w:val="004D51F2"/>
    <w:rsid w:val="004D571D"/>
    <w:rsid w:val="004D57B7"/>
    <w:rsid w:val="004D68AD"/>
    <w:rsid w:val="004D6B9A"/>
    <w:rsid w:val="004D7A0B"/>
    <w:rsid w:val="004E0A35"/>
    <w:rsid w:val="004E14E6"/>
    <w:rsid w:val="004E1E48"/>
    <w:rsid w:val="004E26E7"/>
    <w:rsid w:val="004E2E22"/>
    <w:rsid w:val="004E2FE6"/>
    <w:rsid w:val="004E4255"/>
    <w:rsid w:val="004E43AB"/>
    <w:rsid w:val="004E5693"/>
    <w:rsid w:val="004E612C"/>
    <w:rsid w:val="004E68BC"/>
    <w:rsid w:val="004E6946"/>
    <w:rsid w:val="004E7444"/>
    <w:rsid w:val="004E7AFB"/>
    <w:rsid w:val="004F0C63"/>
    <w:rsid w:val="004F1151"/>
    <w:rsid w:val="004F1AD8"/>
    <w:rsid w:val="004F1F80"/>
    <w:rsid w:val="004F2318"/>
    <w:rsid w:val="004F3287"/>
    <w:rsid w:val="004F3DC8"/>
    <w:rsid w:val="004F5911"/>
    <w:rsid w:val="004F6D38"/>
    <w:rsid w:val="004F705A"/>
    <w:rsid w:val="00501493"/>
    <w:rsid w:val="00501E87"/>
    <w:rsid w:val="005039CB"/>
    <w:rsid w:val="0050426B"/>
    <w:rsid w:val="0050558F"/>
    <w:rsid w:val="0050562F"/>
    <w:rsid w:val="00505ACD"/>
    <w:rsid w:val="00505DBD"/>
    <w:rsid w:val="0050607B"/>
    <w:rsid w:val="00506286"/>
    <w:rsid w:val="00506AF7"/>
    <w:rsid w:val="00506B57"/>
    <w:rsid w:val="00506BC4"/>
    <w:rsid w:val="0050772C"/>
    <w:rsid w:val="005102F6"/>
    <w:rsid w:val="00510813"/>
    <w:rsid w:val="00510F50"/>
    <w:rsid w:val="00511990"/>
    <w:rsid w:val="00511DE0"/>
    <w:rsid w:val="00512042"/>
    <w:rsid w:val="005131AF"/>
    <w:rsid w:val="00513816"/>
    <w:rsid w:val="0051400B"/>
    <w:rsid w:val="00514773"/>
    <w:rsid w:val="00514870"/>
    <w:rsid w:val="00514B9B"/>
    <w:rsid w:val="00514E44"/>
    <w:rsid w:val="00515298"/>
    <w:rsid w:val="0051553E"/>
    <w:rsid w:val="00516015"/>
    <w:rsid w:val="0051639C"/>
    <w:rsid w:val="00517229"/>
    <w:rsid w:val="00517B3A"/>
    <w:rsid w:val="00517D6D"/>
    <w:rsid w:val="00517DD4"/>
    <w:rsid w:val="00517F02"/>
    <w:rsid w:val="005205E3"/>
    <w:rsid w:val="00520984"/>
    <w:rsid w:val="00521B9B"/>
    <w:rsid w:val="00522306"/>
    <w:rsid w:val="00522F74"/>
    <w:rsid w:val="0052344B"/>
    <w:rsid w:val="00523DF6"/>
    <w:rsid w:val="00524303"/>
    <w:rsid w:val="005258A2"/>
    <w:rsid w:val="00525C58"/>
    <w:rsid w:val="00525E10"/>
    <w:rsid w:val="005265F6"/>
    <w:rsid w:val="00527BC1"/>
    <w:rsid w:val="00527C64"/>
    <w:rsid w:val="00527CEF"/>
    <w:rsid w:val="00531F67"/>
    <w:rsid w:val="0053264A"/>
    <w:rsid w:val="00532B2C"/>
    <w:rsid w:val="00533C87"/>
    <w:rsid w:val="005343C3"/>
    <w:rsid w:val="0053519D"/>
    <w:rsid w:val="0053646C"/>
    <w:rsid w:val="005401AE"/>
    <w:rsid w:val="005415DD"/>
    <w:rsid w:val="0054244D"/>
    <w:rsid w:val="00542E07"/>
    <w:rsid w:val="0054335C"/>
    <w:rsid w:val="0054436A"/>
    <w:rsid w:val="00545215"/>
    <w:rsid w:val="00545424"/>
    <w:rsid w:val="00546F85"/>
    <w:rsid w:val="0055019D"/>
    <w:rsid w:val="00550426"/>
    <w:rsid w:val="0055082D"/>
    <w:rsid w:val="00552186"/>
    <w:rsid w:val="005543CF"/>
    <w:rsid w:val="00554A7B"/>
    <w:rsid w:val="005553E6"/>
    <w:rsid w:val="00555682"/>
    <w:rsid w:val="0055572C"/>
    <w:rsid w:val="005563E7"/>
    <w:rsid w:val="0055716A"/>
    <w:rsid w:val="0055759E"/>
    <w:rsid w:val="005600E7"/>
    <w:rsid w:val="0056049D"/>
    <w:rsid w:val="0056106A"/>
    <w:rsid w:val="00562A09"/>
    <w:rsid w:val="00562C94"/>
    <w:rsid w:val="00566796"/>
    <w:rsid w:val="00571780"/>
    <w:rsid w:val="00571C48"/>
    <w:rsid w:val="00571F9F"/>
    <w:rsid w:val="005720AE"/>
    <w:rsid w:val="005740CD"/>
    <w:rsid w:val="0057673A"/>
    <w:rsid w:val="005773AC"/>
    <w:rsid w:val="00581921"/>
    <w:rsid w:val="00582DB0"/>
    <w:rsid w:val="0058474E"/>
    <w:rsid w:val="00584B00"/>
    <w:rsid w:val="005852D5"/>
    <w:rsid w:val="00585706"/>
    <w:rsid w:val="00587329"/>
    <w:rsid w:val="0059062B"/>
    <w:rsid w:val="00590B85"/>
    <w:rsid w:val="00590B94"/>
    <w:rsid w:val="0059462D"/>
    <w:rsid w:val="00594655"/>
    <w:rsid w:val="00594D77"/>
    <w:rsid w:val="00595500"/>
    <w:rsid w:val="005955DA"/>
    <w:rsid w:val="00595B12"/>
    <w:rsid w:val="005969E4"/>
    <w:rsid w:val="00597311"/>
    <w:rsid w:val="00597724"/>
    <w:rsid w:val="005A06B7"/>
    <w:rsid w:val="005A06E6"/>
    <w:rsid w:val="005A1759"/>
    <w:rsid w:val="005A26CA"/>
    <w:rsid w:val="005A26CC"/>
    <w:rsid w:val="005A56DE"/>
    <w:rsid w:val="005A611C"/>
    <w:rsid w:val="005A68A7"/>
    <w:rsid w:val="005A7101"/>
    <w:rsid w:val="005A77BF"/>
    <w:rsid w:val="005A7907"/>
    <w:rsid w:val="005B2B5F"/>
    <w:rsid w:val="005B64D5"/>
    <w:rsid w:val="005B68E3"/>
    <w:rsid w:val="005B6B17"/>
    <w:rsid w:val="005B734C"/>
    <w:rsid w:val="005C01AE"/>
    <w:rsid w:val="005C09B5"/>
    <w:rsid w:val="005C2151"/>
    <w:rsid w:val="005C29A0"/>
    <w:rsid w:val="005C2B71"/>
    <w:rsid w:val="005C39C8"/>
    <w:rsid w:val="005C3D18"/>
    <w:rsid w:val="005C4136"/>
    <w:rsid w:val="005C4262"/>
    <w:rsid w:val="005C7C2D"/>
    <w:rsid w:val="005C7EF9"/>
    <w:rsid w:val="005D1F76"/>
    <w:rsid w:val="005D2A00"/>
    <w:rsid w:val="005D31A2"/>
    <w:rsid w:val="005D36AB"/>
    <w:rsid w:val="005D3B1D"/>
    <w:rsid w:val="005D47BC"/>
    <w:rsid w:val="005D704D"/>
    <w:rsid w:val="005D7538"/>
    <w:rsid w:val="005E1D73"/>
    <w:rsid w:val="005E239F"/>
    <w:rsid w:val="005E59BD"/>
    <w:rsid w:val="005E65F1"/>
    <w:rsid w:val="005F15E4"/>
    <w:rsid w:val="005F16F2"/>
    <w:rsid w:val="005F194E"/>
    <w:rsid w:val="005F1C0B"/>
    <w:rsid w:val="005F1FA5"/>
    <w:rsid w:val="005F3129"/>
    <w:rsid w:val="005F31CB"/>
    <w:rsid w:val="005F3316"/>
    <w:rsid w:val="005F332A"/>
    <w:rsid w:val="005F4FA8"/>
    <w:rsid w:val="005F5703"/>
    <w:rsid w:val="005F5831"/>
    <w:rsid w:val="005F6E79"/>
    <w:rsid w:val="005F7929"/>
    <w:rsid w:val="005F7B07"/>
    <w:rsid w:val="005F7DF3"/>
    <w:rsid w:val="00600B1C"/>
    <w:rsid w:val="00601385"/>
    <w:rsid w:val="0060194D"/>
    <w:rsid w:val="00602579"/>
    <w:rsid w:val="00602FE7"/>
    <w:rsid w:val="006031AC"/>
    <w:rsid w:val="006032B5"/>
    <w:rsid w:val="00603716"/>
    <w:rsid w:val="00603D66"/>
    <w:rsid w:val="006043FA"/>
    <w:rsid w:val="0060536B"/>
    <w:rsid w:val="00610F49"/>
    <w:rsid w:val="00612844"/>
    <w:rsid w:val="00612DFD"/>
    <w:rsid w:val="0061336B"/>
    <w:rsid w:val="00613F49"/>
    <w:rsid w:val="0061499C"/>
    <w:rsid w:val="006162E1"/>
    <w:rsid w:val="006164EC"/>
    <w:rsid w:val="00616BFF"/>
    <w:rsid w:val="00617CC3"/>
    <w:rsid w:val="00620868"/>
    <w:rsid w:val="00620A89"/>
    <w:rsid w:val="006214B5"/>
    <w:rsid w:val="00621BA0"/>
    <w:rsid w:val="006221DA"/>
    <w:rsid w:val="006233DC"/>
    <w:rsid w:val="00623F6A"/>
    <w:rsid w:val="0062401D"/>
    <w:rsid w:val="006241A8"/>
    <w:rsid w:val="00624C7E"/>
    <w:rsid w:val="006250E7"/>
    <w:rsid w:val="00625458"/>
    <w:rsid w:val="00626B4D"/>
    <w:rsid w:val="00626C59"/>
    <w:rsid w:val="00630A28"/>
    <w:rsid w:val="00631192"/>
    <w:rsid w:val="00631935"/>
    <w:rsid w:val="006348D8"/>
    <w:rsid w:val="00634C8B"/>
    <w:rsid w:val="00634F1C"/>
    <w:rsid w:val="00635A71"/>
    <w:rsid w:val="00636042"/>
    <w:rsid w:val="006360B3"/>
    <w:rsid w:val="00636F25"/>
    <w:rsid w:val="006375B5"/>
    <w:rsid w:val="006377A6"/>
    <w:rsid w:val="00637A3D"/>
    <w:rsid w:val="00637FC6"/>
    <w:rsid w:val="006400B5"/>
    <w:rsid w:val="00640552"/>
    <w:rsid w:val="006406CF"/>
    <w:rsid w:val="00641143"/>
    <w:rsid w:val="006411EF"/>
    <w:rsid w:val="00641234"/>
    <w:rsid w:val="00641946"/>
    <w:rsid w:val="006435B8"/>
    <w:rsid w:val="00643B0F"/>
    <w:rsid w:val="00643BC1"/>
    <w:rsid w:val="00644D8B"/>
    <w:rsid w:val="00646B2F"/>
    <w:rsid w:val="00647569"/>
    <w:rsid w:val="00647948"/>
    <w:rsid w:val="00650349"/>
    <w:rsid w:val="0065252D"/>
    <w:rsid w:val="0065304B"/>
    <w:rsid w:val="006545D9"/>
    <w:rsid w:val="00655200"/>
    <w:rsid w:val="00656586"/>
    <w:rsid w:val="00657671"/>
    <w:rsid w:val="00657EE4"/>
    <w:rsid w:val="006616F4"/>
    <w:rsid w:val="006621B8"/>
    <w:rsid w:val="006636C1"/>
    <w:rsid w:val="00663C64"/>
    <w:rsid w:val="00663F3C"/>
    <w:rsid w:val="00664DFF"/>
    <w:rsid w:val="00665639"/>
    <w:rsid w:val="00666022"/>
    <w:rsid w:val="006672D8"/>
    <w:rsid w:val="00670080"/>
    <w:rsid w:val="006701ED"/>
    <w:rsid w:val="00672315"/>
    <w:rsid w:val="00672E0C"/>
    <w:rsid w:val="0067486D"/>
    <w:rsid w:val="006748B8"/>
    <w:rsid w:val="00674961"/>
    <w:rsid w:val="00676556"/>
    <w:rsid w:val="006775C3"/>
    <w:rsid w:val="00680230"/>
    <w:rsid w:val="006803D5"/>
    <w:rsid w:val="00680F36"/>
    <w:rsid w:val="00681592"/>
    <w:rsid w:val="00682BFE"/>
    <w:rsid w:val="006846A9"/>
    <w:rsid w:val="00684A49"/>
    <w:rsid w:val="00685210"/>
    <w:rsid w:val="00685EDC"/>
    <w:rsid w:val="00686F74"/>
    <w:rsid w:val="0068774E"/>
    <w:rsid w:val="006915BE"/>
    <w:rsid w:val="0069290A"/>
    <w:rsid w:val="00693E5E"/>
    <w:rsid w:val="00695110"/>
    <w:rsid w:val="0069535B"/>
    <w:rsid w:val="00695B44"/>
    <w:rsid w:val="006968D9"/>
    <w:rsid w:val="0069775A"/>
    <w:rsid w:val="00697813"/>
    <w:rsid w:val="0069789C"/>
    <w:rsid w:val="00697DF8"/>
    <w:rsid w:val="006A0C39"/>
    <w:rsid w:val="006A17D7"/>
    <w:rsid w:val="006A1AB6"/>
    <w:rsid w:val="006A1F79"/>
    <w:rsid w:val="006A2016"/>
    <w:rsid w:val="006A2A6E"/>
    <w:rsid w:val="006A33F4"/>
    <w:rsid w:val="006A3D35"/>
    <w:rsid w:val="006A3EE8"/>
    <w:rsid w:val="006A46BF"/>
    <w:rsid w:val="006A4754"/>
    <w:rsid w:val="006A72BF"/>
    <w:rsid w:val="006A79A2"/>
    <w:rsid w:val="006B002D"/>
    <w:rsid w:val="006B03F2"/>
    <w:rsid w:val="006B11C0"/>
    <w:rsid w:val="006B129A"/>
    <w:rsid w:val="006B1324"/>
    <w:rsid w:val="006B2904"/>
    <w:rsid w:val="006B37DC"/>
    <w:rsid w:val="006B42D2"/>
    <w:rsid w:val="006B4F68"/>
    <w:rsid w:val="006B5297"/>
    <w:rsid w:val="006B5865"/>
    <w:rsid w:val="006B5C59"/>
    <w:rsid w:val="006B6124"/>
    <w:rsid w:val="006C0592"/>
    <w:rsid w:val="006C2508"/>
    <w:rsid w:val="006C272E"/>
    <w:rsid w:val="006C4908"/>
    <w:rsid w:val="006C5479"/>
    <w:rsid w:val="006C5859"/>
    <w:rsid w:val="006C6511"/>
    <w:rsid w:val="006C6886"/>
    <w:rsid w:val="006C68CB"/>
    <w:rsid w:val="006C70F5"/>
    <w:rsid w:val="006C766D"/>
    <w:rsid w:val="006D0A06"/>
    <w:rsid w:val="006D13B5"/>
    <w:rsid w:val="006D2C53"/>
    <w:rsid w:val="006D2D71"/>
    <w:rsid w:val="006D2F0F"/>
    <w:rsid w:val="006D5202"/>
    <w:rsid w:val="006D5BF3"/>
    <w:rsid w:val="006D67E6"/>
    <w:rsid w:val="006D71BC"/>
    <w:rsid w:val="006D7FDC"/>
    <w:rsid w:val="006E12FF"/>
    <w:rsid w:val="006E1F55"/>
    <w:rsid w:val="006E214A"/>
    <w:rsid w:val="006E2622"/>
    <w:rsid w:val="006E2695"/>
    <w:rsid w:val="006E4235"/>
    <w:rsid w:val="006E6023"/>
    <w:rsid w:val="006E607E"/>
    <w:rsid w:val="006E6472"/>
    <w:rsid w:val="006E66EC"/>
    <w:rsid w:val="006E6E26"/>
    <w:rsid w:val="006F047E"/>
    <w:rsid w:val="006F2053"/>
    <w:rsid w:val="006F2DC7"/>
    <w:rsid w:val="006F4361"/>
    <w:rsid w:val="006F51A6"/>
    <w:rsid w:val="006F5AEE"/>
    <w:rsid w:val="006F6208"/>
    <w:rsid w:val="006F641A"/>
    <w:rsid w:val="006F645D"/>
    <w:rsid w:val="006F6C8E"/>
    <w:rsid w:val="006F769C"/>
    <w:rsid w:val="00700A0A"/>
    <w:rsid w:val="00702159"/>
    <w:rsid w:val="007026D5"/>
    <w:rsid w:val="00702970"/>
    <w:rsid w:val="00702DFC"/>
    <w:rsid w:val="00704CF0"/>
    <w:rsid w:val="007053AC"/>
    <w:rsid w:val="00705F29"/>
    <w:rsid w:val="00706C5D"/>
    <w:rsid w:val="007071DB"/>
    <w:rsid w:val="0071094D"/>
    <w:rsid w:val="0071162A"/>
    <w:rsid w:val="00712342"/>
    <w:rsid w:val="00714C46"/>
    <w:rsid w:val="0071740C"/>
    <w:rsid w:val="00717533"/>
    <w:rsid w:val="00717816"/>
    <w:rsid w:val="00720AB8"/>
    <w:rsid w:val="00722B74"/>
    <w:rsid w:val="007230EF"/>
    <w:rsid w:val="0072464D"/>
    <w:rsid w:val="00724715"/>
    <w:rsid w:val="0072530E"/>
    <w:rsid w:val="007261B0"/>
    <w:rsid w:val="007316AA"/>
    <w:rsid w:val="00731C81"/>
    <w:rsid w:val="00732922"/>
    <w:rsid w:val="00732E26"/>
    <w:rsid w:val="00734939"/>
    <w:rsid w:val="00734A2F"/>
    <w:rsid w:val="00735144"/>
    <w:rsid w:val="00736949"/>
    <w:rsid w:val="00736DDA"/>
    <w:rsid w:val="007408A6"/>
    <w:rsid w:val="00741B2F"/>
    <w:rsid w:val="00742442"/>
    <w:rsid w:val="00744D70"/>
    <w:rsid w:val="007450AF"/>
    <w:rsid w:val="00745C68"/>
    <w:rsid w:val="00751212"/>
    <w:rsid w:val="0075162E"/>
    <w:rsid w:val="00752DA0"/>
    <w:rsid w:val="00752F6E"/>
    <w:rsid w:val="00754034"/>
    <w:rsid w:val="00754FB7"/>
    <w:rsid w:val="00755496"/>
    <w:rsid w:val="0075557C"/>
    <w:rsid w:val="00756556"/>
    <w:rsid w:val="007613EB"/>
    <w:rsid w:val="007618C4"/>
    <w:rsid w:val="007622B8"/>
    <w:rsid w:val="00765103"/>
    <w:rsid w:val="00766C32"/>
    <w:rsid w:val="00767439"/>
    <w:rsid w:val="00767980"/>
    <w:rsid w:val="0077026E"/>
    <w:rsid w:val="00770983"/>
    <w:rsid w:val="007709F3"/>
    <w:rsid w:val="00770B19"/>
    <w:rsid w:val="00772C38"/>
    <w:rsid w:val="0077463F"/>
    <w:rsid w:val="007751A2"/>
    <w:rsid w:val="00775546"/>
    <w:rsid w:val="00776100"/>
    <w:rsid w:val="007768CB"/>
    <w:rsid w:val="00782FE1"/>
    <w:rsid w:val="007836EA"/>
    <w:rsid w:val="007838AB"/>
    <w:rsid w:val="00783E4A"/>
    <w:rsid w:val="007846DA"/>
    <w:rsid w:val="00784CDA"/>
    <w:rsid w:val="00785361"/>
    <w:rsid w:val="00785ED1"/>
    <w:rsid w:val="007861F1"/>
    <w:rsid w:val="0079005D"/>
    <w:rsid w:val="007906C4"/>
    <w:rsid w:val="00790754"/>
    <w:rsid w:val="007907DB"/>
    <w:rsid w:val="007909BF"/>
    <w:rsid w:val="00790AB1"/>
    <w:rsid w:val="00791D67"/>
    <w:rsid w:val="007927CD"/>
    <w:rsid w:val="00793C9C"/>
    <w:rsid w:val="007940EA"/>
    <w:rsid w:val="00794543"/>
    <w:rsid w:val="00794832"/>
    <w:rsid w:val="00794F39"/>
    <w:rsid w:val="00795A42"/>
    <w:rsid w:val="00796279"/>
    <w:rsid w:val="007967E8"/>
    <w:rsid w:val="00796E77"/>
    <w:rsid w:val="007A2170"/>
    <w:rsid w:val="007A22BF"/>
    <w:rsid w:val="007A2AC3"/>
    <w:rsid w:val="007A3323"/>
    <w:rsid w:val="007A3B90"/>
    <w:rsid w:val="007A4159"/>
    <w:rsid w:val="007A41BC"/>
    <w:rsid w:val="007A4359"/>
    <w:rsid w:val="007A445B"/>
    <w:rsid w:val="007A48C1"/>
    <w:rsid w:val="007A4CFD"/>
    <w:rsid w:val="007A6608"/>
    <w:rsid w:val="007A78E7"/>
    <w:rsid w:val="007A7C88"/>
    <w:rsid w:val="007A7E6C"/>
    <w:rsid w:val="007B089D"/>
    <w:rsid w:val="007B0A7E"/>
    <w:rsid w:val="007B1049"/>
    <w:rsid w:val="007B1A47"/>
    <w:rsid w:val="007B1DFE"/>
    <w:rsid w:val="007B242A"/>
    <w:rsid w:val="007B2A7A"/>
    <w:rsid w:val="007B3FE4"/>
    <w:rsid w:val="007B4E9F"/>
    <w:rsid w:val="007B5061"/>
    <w:rsid w:val="007B5682"/>
    <w:rsid w:val="007B62B4"/>
    <w:rsid w:val="007B682B"/>
    <w:rsid w:val="007B72B8"/>
    <w:rsid w:val="007B78F2"/>
    <w:rsid w:val="007B7A58"/>
    <w:rsid w:val="007C18E4"/>
    <w:rsid w:val="007C21B5"/>
    <w:rsid w:val="007C37EF"/>
    <w:rsid w:val="007C3C62"/>
    <w:rsid w:val="007C409B"/>
    <w:rsid w:val="007C6AF5"/>
    <w:rsid w:val="007C6DEF"/>
    <w:rsid w:val="007C6E60"/>
    <w:rsid w:val="007C753A"/>
    <w:rsid w:val="007C77E1"/>
    <w:rsid w:val="007D0C44"/>
    <w:rsid w:val="007D298D"/>
    <w:rsid w:val="007D365D"/>
    <w:rsid w:val="007D389A"/>
    <w:rsid w:val="007D4790"/>
    <w:rsid w:val="007D50B3"/>
    <w:rsid w:val="007D526A"/>
    <w:rsid w:val="007D57E3"/>
    <w:rsid w:val="007D6698"/>
    <w:rsid w:val="007D69CA"/>
    <w:rsid w:val="007E0830"/>
    <w:rsid w:val="007E1FC6"/>
    <w:rsid w:val="007E1FDC"/>
    <w:rsid w:val="007E410A"/>
    <w:rsid w:val="007E41A5"/>
    <w:rsid w:val="007E4BD2"/>
    <w:rsid w:val="007E5088"/>
    <w:rsid w:val="007E571E"/>
    <w:rsid w:val="007E76ED"/>
    <w:rsid w:val="007E798A"/>
    <w:rsid w:val="007F08B5"/>
    <w:rsid w:val="007F0CA9"/>
    <w:rsid w:val="007F1284"/>
    <w:rsid w:val="007F1E49"/>
    <w:rsid w:val="007F2B74"/>
    <w:rsid w:val="007F3BA4"/>
    <w:rsid w:val="007F58A0"/>
    <w:rsid w:val="007F72F7"/>
    <w:rsid w:val="00801393"/>
    <w:rsid w:val="00801E3B"/>
    <w:rsid w:val="008023BD"/>
    <w:rsid w:val="008023DB"/>
    <w:rsid w:val="00802F88"/>
    <w:rsid w:val="00804618"/>
    <w:rsid w:val="00804D2C"/>
    <w:rsid w:val="0080551C"/>
    <w:rsid w:val="0080564B"/>
    <w:rsid w:val="00805A2F"/>
    <w:rsid w:val="00805BBF"/>
    <w:rsid w:val="00810AF6"/>
    <w:rsid w:val="0081210F"/>
    <w:rsid w:val="0081244D"/>
    <w:rsid w:val="0081293E"/>
    <w:rsid w:val="00812DCC"/>
    <w:rsid w:val="00813229"/>
    <w:rsid w:val="008134CC"/>
    <w:rsid w:val="00813DB0"/>
    <w:rsid w:val="00815465"/>
    <w:rsid w:val="008160E4"/>
    <w:rsid w:val="00816737"/>
    <w:rsid w:val="008169AD"/>
    <w:rsid w:val="00817701"/>
    <w:rsid w:val="00817C84"/>
    <w:rsid w:val="00817E9A"/>
    <w:rsid w:val="00821CD7"/>
    <w:rsid w:val="008245E6"/>
    <w:rsid w:val="008246A1"/>
    <w:rsid w:val="00826B68"/>
    <w:rsid w:val="00826D8B"/>
    <w:rsid w:val="00826E05"/>
    <w:rsid w:val="0083031F"/>
    <w:rsid w:val="0083064B"/>
    <w:rsid w:val="008306BD"/>
    <w:rsid w:val="008310FA"/>
    <w:rsid w:val="00831A80"/>
    <w:rsid w:val="00832202"/>
    <w:rsid w:val="0083321C"/>
    <w:rsid w:val="00833286"/>
    <w:rsid w:val="00833743"/>
    <w:rsid w:val="00833813"/>
    <w:rsid w:val="00833A9D"/>
    <w:rsid w:val="00833CD1"/>
    <w:rsid w:val="00833D3D"/>
    <w:rsid w:val="008340A4"/>
    <w:rsid w:val="00835E77"/>
    <w:rsid w:val="00837BB1"/>
    <w:rsid w:val="00840B57"/>
    <w:rsid w:val="00841CB2"/>
    <w:rsid w:val="008429DD"/>
    <w:rsid w:val="00845CF6"/>
    <w:rsid w:val="008461BA"/>
    <w:rsid w:val="00847397"/>
    <w:rsid w:val="008477C9"/>
    <w:rsid w:val="00851A21"/>
    <w:rsid w:val="00854B11"/>
    <w:rsid w:val="00857FFC"/>
    <w:rsid w:val="00860FF2"/>
    <w:rsid w:val="008615BD"/>
    <w:rsid w:val="008630C8"/>
    <w:rsid w:val="00863609"/>
    <w:rsid w:val="008636A7"/>
    <w:rsid w:val="00866B90"/>
    <w:rsid w:val="00866DAE"/>
    <w:rsid w:val="00867011"/>
    <w:rsid w:val="0087117D"/>
    <w:rsid w:val="0087135F"/>
    <w:rsid w:val="00871F79"/>
    <w:rsid w:val="00872D94"/>
    <w:rsid w:val="008745C1"/>
    <w:rsid w:val="008753B4"/>
    <w:rsid w:val="00876182"/>
    <w:rsid w:val="00877305"/>
    <w:rsid w:val="0087749F"/>
    <w:rsid w:val="008800E0"/>
    <w:rsid w:val="00880364"/>
    <w:rsid w:val="00880E42"/>
    <w:rsid w:val="00882CA2"/>
    <w:rsid w:val="00882DF9"/>
    <w:rsid w:val="00882E68"/>
    <w:rsid w:val="00883719"/>
    <w:rsid w:val="00883924"/>
    <w:rsid w:val="00884D6C"/>
    <w:rsid w:val="00884EFD"/>
    <w:rsid w:val="00886034"/>
    <w:rsid w:val="008868E7"/>
    <w:rsid w:val="00886D4F"/>
    <w:rsid w:val="00886F2B"/>
    <w:rsid w:val="00887300"/>
    <w:rsid w:val="00890670"/>
    <w:rsid w:val="00890BFA"/>
    <w:rsid w:val="00890C96"/>
    <w:rsid w:val="00891592"/>
    <w:rsid w:val="00891E9E"/>
    <w:rsid w:val="00892514"/>
    <w:rsid w:val="008936DC"/>
    <w:rsid w:val="00893822"/>
    <w:rsid w:val="00893CED"/>
    <w:rsid w:val="00894712"/>
    <w:rsid w:val="00895970"/>
    <w:rsid w:val="00895FA9"/>
    <w:rsid w:val="00896784"/>
    <w:rsid w:val="0089685B"/>
    <w:rsid w:val="00897E2E"/>
    <w:rsid w:val="008A0845"/>
    <w:rsid w:val="008A1F34"/>
    <w:rsid w:val="008A236B"/>
    <w:rsid w:val="008A2D04"/>
    <w:rsid w:val="008A2F68"/>
    <w:rsid w:val="008A35C2"/>
    <w:rsid w:val="008A37AA"/>
    <w:rsid w:val="008A3AC7"/>
    <w:rsid w:val="008A40B2"/>
    <w:rsid w:val="008A4986"/>
    <w:rsid w:val="008A4A62"/>
    <w:rsid w:val="008A4EA0"/>
    <w:rsid w:val="008A6FF2"/>
    <w:rsid w:val="008A710F"/>
    <w:rsid w:val="008A73D1"/>
    <w:rsid w:val="008B0538"/>
    <w:rsid w:val="008B0A4D"/>
    <w:rsid w:val="008B0CF8"/>
    <w:rsid w:val="008B1962"/>
    <w:rsid w:val="008B39A0"/>
    <w:rsid w:val="008B4774"/>
    <w:rsid w:val="008B4FA6"/>
    <w:rsid w:val="008B5282"/>
    <w:rsid w:val="008B548D"/>
    <w:rsid w:val="008B5A37"/>
    <w:rsid w:val="008B60B3"/>
    <w:rsid w:val="008B732B"/>
    <w:rsid w:val="008B7C17"/>
    <w:rsid w:val="008C0865"/>
    <w:rsid w:val="008C098E"/>
    <w:rsid w:val="008C2555"/>
    <w:rsid w:val="008C2D01"/>
    <w:rsid w:val="008C2EEF"/>
    <w:rsid w:val="008C3111"/>
    <w:rsid w:val="008C4026"/>
    <w:rsid w:val="008C40E6"/>
    <w:rsid w:val="008C60FA"/>
    <w:rsid w:val="008C6711"/>
    <w:rsid w:val="008C67D5"/>
    <w:rsid w:val="008C70B9"/>
    <w:rsid w:val="008D0315"/>
    <w:rsid w:val="008D0C38"/>
    <w:rsid w:val="008D0F7A"/>
    <w:rsid w:val="008D2430"/>
    <w:rsid w:val="008D2A6F"/>
    <w:rsid w:val="008D38E5"/>
    <w:rsid w:val="008D413E"/>
    <w:rsid w:val="008D56AC"/>
    <w:rsid w:val="008D5D89"/>
    <w:rsid w:val="008D67B0"/>
    <w:rsid w:val="008D68E4"/>
    <w:rsid w:val="008D6ED5"/>
    <w:rsid w:val="008D79B4"/>
    <w:rsid w:val="008D7AE2"/>
    <w:rsid w:val="008E0506"/>
    <w:rsid w:val="008E0B75"/>
    <w:rsid w:val="008E0C7D"/>
    <w:rsid w:val="008E0CFF"/>
    <w:rsid w:val="008E126E"/>
    <w:rsid w:val="008E2873"/>
    <w:rsid w:val="008E4AA4"/>
    <w:rsid w:val="008E4FDE"/>
    <w:rsid w:val="008E5D6B"/>
    <w:rsid w:val="008E6108"/>
    <w:rsid w:val="008E6B3C"/>
    <w:rsid w:val="008E74CA"/>
    <w:rsid w:val="008E76F0"/>
    <w:rsid w:val="008F07B8"/>
    <w:rsid w:val="008F15FE"/>
    <w:rsid w:val="008F1FC7"/>
    <w:rsid w:val="008F2D29"/>
    <w:rsid w:val="008F2F1A"/>
    <w:rsid w:val="008F38E8"/>
    <w:rsid w:val="008F46FD"/>
    <w:rsid w:val="008F5187"/>
    <w:rsid w:val="008F533E"/>
    <w:rsid w:val="008F5C49"/>
    <w:rsid w:val="008F60D8"/>
    <w:rsid w:val="008F639F"/>
    <w:rsid w:val="008F6799"/>
    <w:rsid w:val="008F6898"/>
    <w:rsid w:val="008F6B57"/>
    <w:rsid w:val="008F76D2"/>
    <w:rsid w:val="009007AC"/>
    <w:rsid w:val="00902727"/>
    <w:rsid w:val="00902758"/>
    <w:rsid w:val="0090310C"/>
    <w:rsid w:val="0090312B"/>
    <w:rsid w:val="00903177"/>
    <w:rsid w:val="009034C6"/>
    <w:rsid w:val="00904E37"/>
    <w:rsid w:val="00906520"/>
    <w:rsid w:val="00906C21"/>
    <w:rsid w:val="00910D2D"/>
    <w:rsid w:val="00910F7F"/>
    <w:rsid w:val="00911D5B"/>
    <w:rsid w:val="009130BB"/>
    <w:rsid w:val="00913A21"/>
    <w:rsid w:val="00913F63"/>
    <w:rsid w:val="009146E6"/>
    <w:rsid w:val="0091492E"/>
    <w:rsid w:val="00915969"/>
    <w:rsid w:val="00915A20"/>
    <w:rsid w:val="00915E4E"/>
    <w:rsid w:val="00915F47"/>
    <w:rsid w:val="0091736D"/>
    <w:rsid w:val="009178EA"/>
    <w:rsid w:val="00917BF3"/>
    <w:rsid w:val="0092383B"/>
    <w:rsid w:val="00925496"/>
    <w:rsid w:val="009259DE"/>
    <w:rsid w:val="00925A4B"/>
    <w:rsid w:val="00927624"/>
    <w:rsid w:val="00927909"/>
    <w:rsid w:val="00927F9F"/>
    <w:rsid w:val="0093037A"/>
    <w:rsid w:val="009313E4"/>
    <w:rsid w:val="00931C64"/>
    <w:rsid w:val="0093294A"/>
    <w:rsid w:val="00932989"/>
    <w:rsid w:val="00932E97"/>
    <w:rsid w:val="00933769"/>
    <w:rsid w:val="00933AB5"/>
    <w:rsid w:val="00937ABD"/>
    <w:rsid w:val="00937D10"/>
    <w:rsid w:val="0094154D"/>
    <w:rsid w:val="00942CBF"/>
    <w:rsid w:val="0094343B"/>
    <w:rsid w:val="00944F69"/>
    <w:rsid w:val="00945F3E"/>
    <w:rsid w:val="00945F8D"/>
    <w:rsid w:val="009463AB"/>
    <w:rsid w:val="009472DE"/>
    <w:rsid w:val="00947424"/>
    <w:rsid w:val="0095015A"/>
    <w:rsid w:val="00950979"/>
    <w:rsid w:val="00950D78"/>
    <w:rsid w:val="0095155F"/>
    <w:rsid w:val="00951A39"/>
    <w:rsid w:val="00951AE8"/>
    <w:rsid w:val="00951E9C"/>
    <w:rsid w:val="00952669"/>
    <w:rsid w:val="00952B7D"/>
    <w:rsid w:val="00953197"/>
    <w:rsid w:val="009534C9"/>
    <w:rsid w:val="00954429"/>
    <w:rsid w:val="00954E2C"/>
    <w:rsid w:val="009551FB"/>
    <w:rsid w:val="0095622D"/>
    <w:rsid w:val="009563CE"/>
    <w:rsid w:val="0096036F"/>
    <w:rsid w:val="009603CF"/>
    <w:rsid w:val="0096140D"/>
    <w:rsid w:val="00961BC1"/>
    <w:rsid w:val="009621B0"/>
    <w:rsid w:val="009631F6"/>
    <w:rsid w:val="009674BD"/>
    <w:rsid w:val="00967DC3"/>
    <w:rsid w:val="00971B3E"/>
    <w:rsid w:val="00972B3C"/>
    <w:rsid w:val="009734F6"/>
    <w:rsid w:val="009738B0"/>
    <w:rsid w:val="009746E3"/>
    <w:rsid w:val="0097519D"/>
    <w:rsid w:val="00975E25"/>
    <w:rsid w:val="00976328"/>
    <w:rsid w:val="0097680D"/>
    <w:rsid w:val="009776CA"/>
    <w:rsid w:val="009811A7"/>
    <w:rsid w:val="00982034"/>
    <w:rsid w:val="00982438"/>
    <w:rsid w:val="00983372"/>
    <w:rsid w:val="00983682"/>
    <w:rsid w:val="0098404C"/>
    <w:rsid w:val="00985179"/>
    <w:rsid w:val="00985283"/>
    <w:rsid w:val="00985529"/>
    <w:rsid w:val="00985611"/>
    <w:rsid w:val="00985EC4"/>
    <w:rsid w:val="009866B5"/>
    <w:rsid w:val="00987B2F"/>
    <w:rsid w:val="009900FF"/>
    <w:rsid w:val="00990331"/>
    <w:rsid w:val="00990B5E"/>
    <w:rsid w:val="00991590"/>
    <w:rsid w:val="009915D5"/>
    <w:rsid w:val="00991A86"/>
    <w:rsid w:val="00992240"/>
    <w:rsid w:val="00992CB6"/>
    <w:rsid w:val="009933B7"/>
    <w:rsid w:val="009935E8"/>
    <w:rsid w:val="00994021"/>
    <w:rsid w:val="00995992"/>
    <w:rsid w:val="009967D5"/>
    <w:rsid w:val="00996E31"/>
    <w:rsid w:val="00997119"/>
    <w:rsid w:val="0099773C"/>
    <w:rsid w:val="00997AD8"/>
    <w:rsid w:val="009A03E5"/>
    <w:rsid w:val="009A08B1"/>
    <w:rsid w:val="009A0F3B"/>
    <w:rsid w:val="009A0F87"/>
    <w:rsid w:val="009A1BB4"/>
    <w:rsid w:val="009A2628"/>
    <w:rsid w:val="009A3200"/>
    <w:rsid w:val="009A4D8F"/>
    <w:rsid w:val="009A4E60"/>
    <w:rsid w:val="009A5ECC"/>
    <w:rsid w:val="009A7277"/>
    <w:rsid w:val="009B0897"/>
    <w:rsid w:val="009B0A69"/>
    <w:rsid w:val="009B0C7A"/>
    <w:rsid w:val="009B1E9A"/>
    <w:rsid w:val="009B2CA1"/>
    <w:rsid w:val="009B37E5"/>
    <w:rsid w:val="009B3928"/>
    <w:rsid w:val="009B4E88"/>
    <w:rsid w:val="009B5257"/>
    <w:rsid w:val="009B5A30"/>
    <w:rsid w:val="009B5A53"/>
    <w:rsid w:val="009B72CB"/>
    <w:rsid w:val="009B72E7"/>
    <w:rsid w:val="009B7BBE"/>
    <w:rsid w:val="009B7BD9"/>
    <w:rsid w:val="009C0D3D"/>
    <w:rsid w:val="009C1F07"/>
    <w:rsid w:val="009C2031"/>
    <w:rsid w:val="009C49DB"/>
    <w:rsid w:val="009C4AE1"/>
    <w:rsid w:val="009C4CA9"/>
    <w:rsid w:val="009C4CDD"/>
    <w:rsid w:val="009C5258"/>
    <w:rsid w:val="009C7DD5"/>
    <w:rsid w:val="009D027A"/>
    <w:rsid w:val="009D0B27"/>
    <w:rsid w:val="009D0F1B"/>
    <w:rsid w:val="009D25B6"/>
    <w:rsid w:val="009D3F40"/>
    <w:rsid w:val="009D510B"/>
    <w:rsid w:val="009D5689"/>
    <w:rsid w:val="009D63A4"/>
    <w:rsid w:val="009D73AF"/>
    <w:rsid w:val="009E06E1"/>
    <w:rsid w:val="009E227D"/>
    <w:rsid w:val="009E3049"/>
    <w:rsid w:val="009E5019"/>
    <w:rsid w:val="009E7267"/>
    <w:rsid w:val="009F01E9"/>
    <w:rsid w:val="009F03C8"/>
    <w:rsid w:val="009F067E"/>
    <w:rsid w:val="009F2ECE"/>
    <w:rsid w:val="009F392B"/>
    <w:rsid w:val="009F43F8"/>
    <w:rsid w:val="009F4805"/>
    <w:rsid w:val="009F4926"/>
    <w:rsid w:val="009F4A3F"/>
    <w:rsid w:val="009F4F51"/>
    <w:rsid w:val="009F5F31"/>
    <w:rsid w:val="009F7584"/>
    <w:rsid w:val="00A008B7"/>
    <w:rsid w:val="00A00D05"/>
    <w:rsid w:val="00A016F4"/>
    <w:rsid w:val="00A01A0F"/>
    <w:rsid w:val="00A04F1B"/>
    <w:rsid w:val="00A0501B"/>
    <w:rsid w:val="00A06CFB"/>
    <w:rsid w:val="00A07778"/>
    <w:rsid w:val="00A07C5A"/>
    <w:rsid w:val="00A07F84"/>
    <w:rsid w:val="00A10352"/>
    <w:rsid w:val="00A10520"/>
    <w:rsid w:val="00A12217"/>
    <w:rsid w:val="00A123CE"/>
    <w:rsid w:val="00A13E06"/>
    <w:rsid w:val="00A140D4"/>
    <w:rsid w:val="00A14947"/>
    <w:rsid w:val="00A1518D"/>
    <w:rsid w:val="00A15B24"/>
    <w:rsid w:val="00A16BC1"/>
    <w:rsid w:val="00A17435"/>
    <w:rsid w:val="00A2088F"/>
    <w:rsid w:val="00A209B0"/>
    <w:rsid w:val="00A20B00"/>
    <w:rsid w:val="00A223F7"/>
    <w:rsid w:val="00A237B4"/>
    <w:rsid w:val="00A2391C"/>
    <w:rsid w:val="00A25CCC"/>
    <w:rsid w:val="00A2613E"/>
    <w:rsid w:val="00A279F8"/>
    <w:rsid w:val="00A27AF4"/>
    <w:rsid w:val="00A304B4"/>
    <w:rsid w:val="00A310A4"/>
    <w:rsid w:val="00A3118C"/>
    <w:rsid w:val="00A31990"/>
    <w:rsid w:val="00A31DFC"/>
    <w:rsid w:val="00A323E4"/>
    <w:rsid w:val="00A32940"/>
    <w:rsid w:val="00A32A83"/>
    <w:rsid w:val="00A32C7B"/>
    <w:rsid w:val="00A3303B"/>
    <w:rsid w:val="00A355EE"/>
    <w:rsid w:val="00A356FF"/>
    <w:rsid w:val="00A368DB"/>
    <w:rsid w:val="00A40EBA"/>
    <w:rsid w:val="00A423AA"/>
    <w:rsid w:val="00A448BF"/>
    <w:rsid w:val="00A4515A"/>
    <w:rsid w:val="00A452C9"/>
    <w:rsid w:val="00A4579A"/>
    <w:rsid w:val="00A4743B"/>
    <w:rsid w:val="00A47602"/>
    <w:rsid w:val="00A47E1F"/>
    <w:rsid w:val="00A47F0D"/>
    <w:rsid w:val="00A5111E"/>
    <w:rsid w:val="00A513BC"/>
    <w:rsid w:val="00A51541"/>
    <w:rsid w:val="00A524E2"/>
    <w:rsid w:val="00A5395A"/>
    <w:rsid w:val="00A53EC6"/>
    <w:rsid w:val="00A544DC"/>
    <w:rsid w:val="00A54C4F"/>
    <w:rsid w:val="00A55C0F"/>
    <w:rsid w:val="00A5715E"/>
    <w:rsid w:val="00A605AF"/>
    <w:rsid w:val="00A60A79"/>
    <w:rsid w:val="00A62114"/>
    <w:rsid w:val="00A62EB7"/>
    <w:rsid w:val="00A62FA0"/>
    <w:rsid w:val="00A63FCD"/>
    <w:rsid w:val="00A64964"/>
    <w:rsid w:val="00A64BEB"/>
    <w:rsid w:val="00A65961"/>
    <w:rsid w:val="00A66CAB"/>
    <w:rsid w:val="00A67DA8"/>
    <w:rsid w:val="00A67DDB"/>
    <w:rsid w:val="00A706EA"/>
    <w:rsid w:val="00A70E89"/>
    <w:rsid w:val="00A71FF7"/>
    <w:rsid w:val="00A73364"/>
    <w:rsid w:val="00A741BB"/>
    <w:rsid w:val="00A7570A"/>
    <w:rsid w:val="00A815FD"/>
    <w:rsid w:val="00A8248F"/>
    <w:rsid w:val="00A84682"/>
    <w:rsid w:val="00A84FA3"/>
    <w:rsid w:val="00A86085"/>
    <w:rsid w:val="00A8713F"/>
    <w:rsid w:val="00A907D4"/>
    <w:rsid w:val="00A90A13"/>
    <w:rsid w:val="00A90BA1"/>
    <w:rsid w:val="00A910FF"/>
    <w:rsid w:val="00A91681"/>
    <w:rsid w:val="00A919C3"/>
    <w:rsid w:val="00A934EC"/>
    <w:rsid w:val="00A93AE6"/>
    <w:rsid w:val="00A93D4A"/>
    <w:rsid w:val="00A93D6E"/>
    <w:rsid w:val="00A96009"/>
    <w:rsid w:val="00A960C7"/>
    <w:rsid w:val="00A96ACD"/>
    <w:rsid w:val="00A96C23"/>
    <w:rsid w:val="00A96D30"/>
    <w:rsid w:val="00A970AA"/>
    <w:rsid w:val="00A974D4"/>
    <w:rsid w:val="00A97784"/>
    <w:rsid w:val="00A97A9A"/>
    <w:rsid w:val="00A97E83"/>
    <w:rsid w:val="00AA0671"/>
    <w:rsid w:val="00AA06BD"/>
    <w:rsid w:val="00AA2531"/>
    <w:rsid w:val="00AA25F3"/>
    <w:rsid w:val="00AA3DC0"/>
    <w:rsid w:val="00AA4EBE"/>
    <w:rsid w:val="00AA6327"/>
    <w:rsid w:val="00AB08C6"/>
    <w:rsid w:val="00AB18BA"/>
    <w:rsid w:val="00AB1E09"/>
    <w:rsid w:val="00AB20AC"/>
    <w:rsid w:val="00AB21F0"/>
    <w:rsid w:val="00AB42BF"/>
    <w:rsid w:val="00AB4C62"/>
    <w:rsid w:val="00AB5330"/>
    <w:rsid w:val="00AB56FD"/>
    <w:rsid w:val="00AB7747"/>
    <w:rsid w:val="00AC049B"/>
    <w:rsid w:val="00AC079C"/>
    <w:rsid w:val="00AC07E6"/>
    <w:rsid w:val="00AC0D75"/>
    <w:rsid w:val="00AC1391"/>
    <w:rsid w:val="00AC13D4"/>
    <w:rsid w:val="00AC14CE"/>
    <w:rsid w:val="00AC184B"/>
    <w:rsid w:val="00AC1E6D"/>
    <w:rsid w:val="00AC2A56"/>
    <w:rsid w:val="00AC315B"/>
    <w:rsid w:val="00AC3702"/>
    <w:rsid w:val="00AC3DBA"/>
    <w:rsid w:val="00AC4FEB"/>
    <w:rsid w:val="00AC5A01"/>
    <w:rsid w:val="00AC69C9"/>
    <w:rsid w:val="00AC6E62"/>
    <w:rsid w:val="00AC7A1B"/>
    <w:rsid w:val="00AD015C"/>
    <w:rsid w:val="00AD055E"/>
    <w:rsid w:val="00AD084E"/>
    <w:rsid w:val="00AD0C76"/>
    <w:rsid w:val="00AD1401"/>
    <w:rsid w:val="00AD26BA"/>
    <w:rsid w:val="00AD30B9"/>
    <w:rsid w:val="00AD3172"/>
    <w:rsid w:val="00AD34B3"/>
    <w:rsid w:val="00AD47A7"/>
    <w:rsid w:val="00AD595E"/>
    <w:rsid w:val="00AD727B"/>
    <w:rsid w:val="00AD782A"/>
    <w:rsid w:val="00AD7DE5"/>
    <w:rsid w:val="00AE0C35"/>
    <w:rsid w:val="00AE2101"/>
    <w:rsid w:val="00AE2B6F"/>
    <w:rsid w:val="00AE368B"/>
    <w:rsid w:val="00AE4475"/>
    <w:rsid w:val="00AE6D45"/>
    <w:rsid w:val="00AE6D63"/>
    <w:rsid w:val="00AE6F81"/>
    <w:rsid w:val="00AF0CBF"/>
    <w:rsid w:val="00AF177E"/>
    <w:rsid w:val="00AF1C1E"/>
    <w:rsid w:val="00AF1E8B"/>
    <w:rsid w:val="00AF257F"/>
    <w:rsid w:val="00AF2F13"/>
    <w:rsid w:val="00AF2FEF"/>
    <w:rsid w:val="00AF325D"/>
    <w:rsid w:val="00AF33CF"/>
    <w:rsid w:val="00AF3F81"/>
    <w:rsid w:val="00AF4D50"/>
    <w:rsid w:val="00AF5111"/>
    <w:rsid w:val="00AF533E"/>
    <w:rsid w:val="00AF6179"/>
    <w:rsid w:val="00AF6E0D"/>
    <w:rsid w:val="00B01AA7"/>
    <w:rsid w:val="00B01C10"/>
    <w:rsid w:val="00B01C93"/>
    <w:rsid w:val="00B02373"/>
    <w:rsid w:val="00B023AE"/>
    <w:rsid w:val="00B035CA"/>
    <w:rsid w:val="00B04EA8"/>
    <w:rsid w:val="00B06B80"/>
    <w:rsid w:val="00B07A50"/>
    <w:rsid w:val="00B100C5"/>
    <w:rsid w:val="00B1039C"/>
    <w:rsid w:val="00B10D79"/>
    <w:rsid w:val="00B11477"/>
    <w:rsid w:val="00B11692"/>
    <w:rsid w:val="00B11F6E"/>
    <w:rsid w:val="00B12030"/>
    <w:rsid w:val="00B1295A"/>
    <w:rsid w:val="00B12DD9"/>
    <w:rsid w:val="00B15930"/>
    <w:rsid w:val="00B16319"/>
    <w:rsid w:val="00B1645C"/>
    <w:rsid w:val="00B17866"/>
    <w:rsid w:val="00B20A45"/>
    <w:rsid w:val="00B22145"/>
    <w:rsid w:val="00B22C5C"/>
    <w:rsid w:val="00B23036"/>
    <w:rsid w:val="00B23364"/>
    <w:rsid w:val="00B24696"/>
    <w:rsid w:val="00B24F30"/>
    <w:rsid w:val="00B24FEE"/>
    <w:rsid w:val="00B2685C"/>
    <w:rsid w:val="00B30915"/>
    <w:rsid w:val="00B309C0"/>
    <w:rsid w:val="00B31503"/>
    <w:rsid w:val="00B31ABF"/>
    <w:rsid w:val="00B33159"/>
    <w:rsid w:val="00B33818"/>
    <w:rsid w:val="00B33BE3"/>
    <w:rsid w:val="00B3542E"/>
    <w:rsid w:val="00B35920"/>
    <w:rsid w:val="00B35CA4"/>
    <w:rsid w:val="00B3704B"/>
    <w:rsid w:val="00B37B27"/>
    <w:rsid w:val="00B401F5"/>
    <w:rsid w:val="00B40C38"/>
    <w:rsid w:val="00B40DEF"/>
    <w:rsid w:val="00B40E89"/>
    <w:rsid w:val="00B41143"/>
    <w:rsid w:val="00B42352"/>
    <w:rsid w:val="00B43A72"/>
    <w:rsid w:val="00B447A2"/>
    <w:rsid w:val="00B45579"/>
    <w:rsid w:val="00B45915"/>
    <w:rsid w:val="00B45E19"/>
    <w:rsid w:val="00B46F18"/>
    <w:rsid w:val="00B474A3"/>
    <w:rsid w:val="00B52577"/>
    <w:rsid w:val="00B52D5A"/>
    <w:rsid w:val="00B53B5D"/>
    <w:rsid w:val="00B53CE4"/>
    <w:rsid w:val="00B541FF"/>
    <w:rsid w:val="00B56716"/>
    <w:rsid w:val="00B601DF"/>
    <w:rsid w:val="00B6055E"/>
    <w:rsid w:val="00B60746"/>
    <w:rsid w:val="00B6317D"/>
    <w:rsid w:val="00B634F3"/>
    <w:rsid w:val="00B63FFF"/>
    <w:rsid w:val="00B6640D"/>
    <w:rsid w:val="00B678C7"/>
    <w:rsid w:val="00B7238C"/>
    <w:rsid w:val="00B72DCB"/>
    <w:rsid w:val="00B73575"/>
    <w:rsid w:val="00B73A48"/>
    <w:rsid w:val="00B73B2B"/>
    <w:rsid w:val="00B74207"/>
    <w:rsid w:val="00B75741"/>
    <w:rsid w:val="00B75D2E"/>
    <w:rsid w:val="00B771D1"/>
    <w:rsid w:val="00B7723F"/>
    <w:rsid w:val="00B778D0"/>
    <w:rsid w:val="00B77B07"/>
    <w:rsid w:val="00B80534"/>
    <w:rsid w:val="00B80597"/>
    <w:rsid w:val="00B82090"/>
    <w:rsid w:val="00B826D0"/>
    <w:rsid w:val="00B8306C"/>
    <w:rsid w:val="00B83321"/>
    <w:rsid w:val="00B83340"/>
    <w:rsid w:val="00B837DD"/>
    <w:rsid w:val="00B837FA"/>
    <w:rsid w:val="00B842F5"/>
    <w:rsid w:val="00B8433C"/>
    <w:rsid w:val="00B87390"/>
    <w:rsid w:val="00B87491"/>
    <w:rsid w:val="00B919AE"/>
    <w:rsid w:val="00B92276"/>
    <w:rsid w:val="00B938A1"/>
    <w:rsid w:val="00B9501D"/>
    <w:rsid w:val="00B95929"/>
    <w:rsid w:val="00B95B35"/>
    <w:rsid w:val="00B95FA6"/>
    <w:rsid w:val="00B96A10"/>
    <w:rsid w:val="00B96B2D"/>
    <w:rsid w:val="00B96BA7"/>
    <w:rsid w:val="00B97320"/>
    <w:rsid w:val="00B97A43"/>
    <w:rsid w:val="00BA1437"/>
    <w:rsid w:val="00BA181A"/>
    <w:rsid w:val="00BA25C0"/>
    <w:rsid w:val="00BA29E9"/>
    <w:rsid w:val="00BA2A40"/>
    <w:rsid w:val="00BA446F"/>
    <w:rsid w:val="00BA5B78"/>
    <w:rsid w:val="00BA6F5A"/>
    <w:rsid w:val="00BA7142"/>
    <w:rsid w:val="00BB023A"/>
    <w:rsid w:val="00BB0640"/>
    <w:rsid w:val="00BB237C"/>
    <w:rsid w:val="00BB2857"/>
    <w:rsid w:val="00BB41A3"/>
    <w:rsid w:val="00BB4AB3"/>
    <w:rsid w:val="00BB5A90"/>
    <w:rsid w:val="00BB6228"/>
    <w:rsid w:val="00BB70F9"/>
    <w:rsid w:val="00BC27EB"/>
    <w:rsid w:val="00BC2E0F"/>
    <w:rsid w:val="00BC32DC"/>
    <w:rsid w:val="00BC35B6"/>
    <w:rsid w:val="00BC41AA"/>
    <w:rsid w:val="00BC427C"/>
    <w:rsid w:val="00BC6FA1"/>
    <w:rsid w:val="00BD052A"/>
    <w:rsid w:val="00BD0B4E"/>
    <w:rsid w:val="00BD1B51"/>
    <w:rsid w:val="00BD2982"/>
    <w:rsid w:val="00BD4596"/>
    <w:rsid w:val="00BD5B38"/>
    <w:rsid w:val="00BD6427"/>
    <w:rsid w:val="00BD6527"/>
    <w:rsid w:val="00BD6960"/>
    <w:rsid w:val="00BD71FE"/>
    <w:rsid w:val="00BD76E9"/>
    <w:rsid w:val="00BD7F35"/>
    <w:rsid w:val="00BE0B48"/>
    <w:rsid w:val="00BE0FC6"/>
    <w:rsid w:val="00BE1405"/>
    <w:rsid w:val="00BE1506"/>
    <w:rsid w:val="00BE2128"/>
    <w:rsid w:val="00BE220E"/>
    <w:rsid w:val="00BE2F8B"/>
    <w:rsid w:val="00BE312D"/>
    <w:rsid w:val="00BE3433"/>
    <w:rsid w:val="00BE4DA5"/>
    <w:rsid w:val="00BE533B"/>
    <w:rsid w:val="00BE6F35"/>
    <w:rsid w:val="00BF0505"/>
    <w:rsid w:val="00BF0BD5"/>
    <w:rsid w:val="00BF0DDA"/>
    <w:rsid w:val="00BF1C20"/>
    <w:rsid w:val="00BF2053"/>
    <w:rsid w:val="00BF23F3"/>
    <w:rsid w:val="00BF3AA5"/>
    <w:rsid w:val="00BF3C81"/>
    <w:rsid w:val="00BF4C1B"/>
    <w:rsid w:val="00BF4FEA"/>
    <w:rsid w:val="00C010A6"/>
    <w:rsid w:val="00C0295E"/>
    <w:rsid w:val="00C02D1F"/>
    <w:rsid w:val="00C04094"/>
    <w:rsid w:val="00C0467A"/>
    <w:rsid w:val="00C053B4"/>
    <w:rsid w:val="00C07562"/>
    <w:rsid w:val="00C07C8D"/>
    <w:rsid w:val="00C10578"/>
    <w:rsid w:val="00C109C0"/>
    <w:rsid w:val="00C11506"/>
    <w:rsid w:val="00C1163C"/>
    <w:rsid w:val="00C11655"/>
    <w:rsid w:val="00C11D1D"/>
    <w:rsid w:val="00C128DD"/>
    <w:rsid w:val="00C133C1"/>
    <w:rsid w:val="00C135BC"/>
    <w:rsid w:val="00C13948"/>
    <w:rsid w:val="00C15224"/>
    <w:rsid w:val="00C15401"/>
    <w:rsid w:val="00C15C95"/>
    <w:rsid w:val="00C1664A"/>
    <w:rsid w:val="00C1682C"/>
    <w:rsid w:val="00C16B53"/>
    <w:rsid w:val="00C16E47"/>
    <w:rsid w:val="00C17AFB"/>
    <w:rsid w:val="00C203C5"/>
    <w:rsid w:val="00C210F6"/>
    <w:rsid w:val="00C21341"/>
    <w:rsid w:val="00C21C7D"/>
    <w:rsid w:val="00C23754"/>
    <w:rsid w:val="00C252CE"/>
    <w:rsid w:val="00C2596A"/>
    <w:rsid w:val="00C26DD5"/>
    <w:rsid w:val="00C2719D"/>
    <w:rsid w:val="00C27279"/>
    <w:rsid w:val="00C27537"/>
    <w:rsid w:val="00C27556"/>
    <w:rsid w:val="00C27D3C"/>
    <w:rsid w:val="00C30480"/>
    <w:rsid w:val="00C30E9E"/>
    <w:rsid w:val="00C31B8B"/>
    <w:rsid w:val="00C32048"/>
    <w:rsid w:val="00C328FE"/>
    <w:rsid w:val="00C32D20"/>
    <w:rsid w:val="00C33507"/>
    <w:rsid w:val="00C33B5C"/>
    <w:rsid w:val="00C35BAC"/>
    <w:rsid w:val="00C363B9"/>
    <w:rsid w:val="00C3692B"/>
    <w:rsid w:val="00C370A3"/>
    <w:rsid w:val="00C377A9"/>
    <w:rsid w:val="00C37800"/>
    <w:rsid w:val="00C3795D"/>
    <w:rsid w:val="00C4069E"/>
    <w:rsid w:val="00C415FD"/>
    <w:rsid w:val="00C4177C"/>
    <w:rsid w:val="00C418D2"/>
    <w:rsid w:val="00C425F6"/>
    <w:rsid w:val="00C4409D"/>
    <w:rsid w:val="00C44CAB"/>
    <w:rsid w:val="00C44E72"/>
    <w:rsid w:val="00C45A06"/>
    <w:rsid w:val="00C4631C"/>
    <w:rsid w:val="00C46797"/>
    <w:rsid w:val="00C4720A"/>
    <w:rsid w:val="00C47AE7"/>
    <w:rsid w:val="00C47E5B"/>
    <w:rsid w:val="00C51324"/>
    <w:rsid w:val="00C52CC8"/>
    <w:rsid w:val="00C53121"/>
    <w:rsid w:val="00C54DD8"/>
    <w:rsid w:val="00C55069"/>
    <w:rsid w:val="00C55700"/>
    <w:rsid w:val="00C56F09"/>
    <w:rsid w:val="00C61E4B"/>
    <w:rsid w:val="00C64BFF"/>
    <w:rsid w:val="00C660BA"/>
    <w:rsid w:val="00C66509"/>
    <w:rsid w:val="00C66A80"/>
    <w:rsid w:val="00C678E6"/>
    <w:rsid w:val="00C70314"/>
    <w:rsid w:val="00C704E9"/>
    <w:rsid w:val="00C716AF"/>
    <w:rsid w:val="00C719FB"/>
    <w:rsid w:val="00C7214A"/>
    <w:rsid w:val="00C7257E"/>
    <w:rsid w:val="00C72D25"/>
    <w:rsid w:val="00C7371E"/>
    <w:rsid w:val="00C73A06"/>
    <w:rsid w:val="00C74A0E"/>
    <w:rsid w:val="00C75107"/>
    <w:rsid w:val="00C752B5"/>
    <w:rsid w:val="00C75448"/>
    <w:rsid w:val="00C75591"/>
    <w:rsid w:val="00C75F85"/>
    <w:rsid w:val="00C763C9"/>
    <w:rsid w:val="00C80057"/>
    <w:rsid w:val="00C81232"/>
    <w:rsid w:val="00C82232"/>
    <w:rsid w:val="00C82690"/>
    <w:rsid w:val="00C82913"/>
    <w:rsid w:val="00C82DDF"/>
    <w:rsid w:val="00C84226"/>
    <w:rsid w:val="00C85516"/>
    <w:rsid w:val="00C85992"/>
    <w:rsid w:val="00C85F80"/>
    <w:rsid w:val="00C86318"/>
    <w:rsid w:val="00C86A1A"/>
    <w:rsid w:val="00C8754A"/>
    <w:rsid w:val="00C901D7"/>
    <w:rsid w:val="00C918CA"/>
    <w:rsid w:val="00C91B0C"/>
    <w:rsid w:val="00C91B49"/>
    <w:rsid w:val="00C92872"/>
    <w:rsid w:val="00C92F9A"/>
    <w:rsid w:val="00C94CDC"/>
    <w:rsid w:val="00C95F35"/>
    <w:rsid w:val="00C97066"/>
    <w:rsid w:val="00C972B1"/>
    <w:rsid w:val="00CA0376"/>
    <w:rsid w:val="00CA2CCE"/>
    <w:rsid w:val="00CA2E21"/>
    <w:rsid w:val="00CA345F"/>
    <w:rsid w:val="00CA43FD"/>
    <w:rsid w:val="00CA481A"/>
    <w:rsid w:val="00CA59C1"/>
    <w:rsid w:val="00CA672F"/>
    <w:rsid w:val="00CA6A0B"/>
    <w:rsid w:val="00CA6E81"/>
    <w:rsid w:val="00CA78FD"/>
    <w:rsid w:val="00CA7BCA"/>
    <w:rsid w:val="00CA7EF8"/>
    <w:rsid w:val="00CB124A"/>
    <w:rsid w:val="00CB13E5"/>
    <w:rsid w:val="00CB1FA2"/>
    <w:rsid w:val="00CB22D1"/>
    <w:rsid w:val="00CB2341"/>
    <w:rsid w:val="00CB36F7"/>
    <w:rsid w:val="00CB489E"/>
    <w:rsid w:val="00CB4E66"/>
    <w:rsid w:val="00CB5EF1"/>
    <w:rsid w:val="00CB628E"/>
    <w:rsid w:val="00CB62AE"/>
    <w:rsid w:val="00CB6307"/>
    <w:rsid w:val="00CB6A8A"/>
    <w:rsid w:val="00CB7DD1"/>
    <w:rsid w:val="00CC1978"/>
    <w:rsid w:val="00CC1EBB"/>
    <w:rsid w:val="00CC396E"/>
    <w:rsid w:val="00CC3D37"/>
    <w:rsid w:val="00CC4862"/>
    <w:rsid w:val="00CC489B"/>
    <w:rsid w:val="00CC6412"/>
    <w:rsid w:val="00CC72A7"/>
    <w:rsid w:val="00CC796E"/>
    <w:rsid w:val="00CD0273"/>
    <w:rsid w:val="00CD2BCD"/>
    <w:rsid w:val="00CD339C"/>
    <w:rsid w:val="00CD3A4C"/>
    <w:rsid w:val="00CD3F6F"/>
    <w:rsid w:val="00CD4C99"/>
    <w:rsid w:val="00CD53D4"/>
    <w:rsid w:val="00CD646C"/>
    <w:rsid w:val="00CD74DC"/>
    <w:rsid w:val="00CD7BDF"/>
    <w:rsid w:val="00CE0287"/>
    <w:rsid w:val="00CE02E1"/>
    <w:rsid w:val="00CE0633"/>
    <w:rsid w:val="00CE0858"/>
    <w:rsid w:val="00CE0C67"/>
    <w:rsid w:val="00CE10E9"/>
    <w:rsid w:val="00CE21E7"/>
    <w:rsid w:val="00CE2910"/>
    <w:rsid w:val="00CE2EBB"/>
    <w:rsid w:val="00CE4E4E"/>
    <w:rsid w:val="00CE5393"/>
    <w:rsid w:val="00CE6489"/>
    <w:rsid w:val="00CE6510"/>
    <w:rsid w:val="00CE68CA"/>
    <w:rsid w:val="00CE6F11"/>
    <w:rsid w:val="00CE74FF"/>
    <w:rsid w:val="00CF0D67"/>
    <w:rsid w:val="00CF1BF2"/>
    <w:rsid w:val="00CF2071"/>
    <w:rsid w:val="00CF22EC"/>
    <w:rsid w:val="00CF36BE"/>
    <w:rsid w:val="00CF3B4D"/>
    <w:rsid w:val="00CF494D"/>
    <w:rsid w:val="00CF5592"/>
    <w:rsid w:val="00CF6000"/>
    <w:rsid w:val="00CF6159"/>
    <w:rsid w:val="00CF76C6"/>
    <w:rsid w:val="00CF791E"/>
    <w:rsid w:val="00D00111"/>
    <w:rsid w:val="00D003F3"/>
    <w:rsid w:val="00D013A2"/>
    <w:rsid w:val="00D01B54"/>
    <w:rsid w:val="00D02711"/>
    <w:rsid w:val="00D0364F"/>
    <w:rsid w:val="00D058BE"/>
    <w:rsid w:val="00D06295"/>
    <w:rsid w:val="00D06834"/>
    <w:rsid w:val="00D06F7F"/>
    <w:rsid w:val="00D077FA"/>
    <w:rsid w:val="00D105E0"/>
    <w:rsid w:val="00D129E0"/>
    <w:rsid w:val="00D12CCC"/>
    <w:rsid w:val="00D13C56"/>
    <w:rsid w:val="00D13F29"/>
    <w:rsid w:val="00D15483"/>
    <w:rsid w:val="00D159FE"/>
    <w:rsid w:val="00D1683D"/>
    <w:rsid w:val="00D22A46"/>
    <w:rsid w:val="00D23660"/>
    <w:rsid w:val="00D25EF4"/>
    <w:rsid w:val="00D304B1"/>
    <w:rsid w:val="00D30848"/>
    <w:rsid w:val="00D308ED"/>
    <w:rsid w:val="00D30C3E"/>
    <w:rsid w:val="00D30DFB"/>
    <w:rsid w:val="00D31385"/>
    <w:rsid w:val="00D31601"/>
    <w:rsid w:val="00D31686"/>
    <w:rsid w:val="00D31DDC"/>
    <w:rsid w:val="00D31DEA"/>
    <w:rsid w:val="00D32303"/>
    <w:rsid w:val="00D34094"/>
    <w:rsid w:val="00D34B26"/>
    <w:rsid w:val="00D34F35"/>
    <w:rsid w:val="00D353E4"/>
    <w:rsid w:val="00D354A8"/>
    <w:rsid w:val="00D36D86"/>
    <w:rsid w:val="00D37E25"/>
    <w:rsid w:val="00D406B5"/>
    <w:rsid w:val="00D41984"/>
    <w:rsid w:val="00D41A90"/>
    <w:rsid w:val="00D41AFB"/>
    <w:rsid w:val="00D428AA"/>
    <w:rsid w:val="00D4291C"/>
    <w:rsid w:val="00D42F1D"/>
    <w:rsid w:val="00D445E7"/>
    <w:rsid w:val="00D44A05"/>
    <w:rsid w:val="00D44D71"/>
    <w:rsid w:val="00D453EE"/>
    <w:rsid w:val="00D46330"/>
    <w:rsid w:val="00D46C34"/>
    <w:rsid w:val="00D47074"/>
    <w:rsid w:val="00D50A34"/>
    <w:rsid w:val="00D51320"/>
    <w:rsid w:val="00D523E9"/>
    <w:rsid w:val="00D527A5"/>
    <w:rsid w:val="00D5317A"/>
    <w:rsid w:val="00D5322A"/>
    <w:rsid w:val="00D535A8"/>
    <w:rsid w:val="00D53EFA"/>
    <w:rsid w:val="00D541E2"/>
    <w:rsid w:val="00D54A37"/>
    <w:rsid w:val="00D54B53"/>
    <w:rsid w:val="00D55C35"/>
    <w:rsid w:val="00D55D74"/>
    <w:rsid w:val="00D573DE"/>
    <w:rsid w:val="00D57530"/>
    <w:rsid w:val="00D57DE2"/>
    <w:rsid w:val="00D612D8"/>
    <w:rsid w:val="00D61507"/>
    <w:rsid w:val="00D61737"/>
    <w:rsid w:val="00D61CD7"/>
    <w:rsid w:val="00D62D89"/>
    <w:rsid w:val="00D64257"/>
    <w:rsid w:val="00D6440C"/>
    <w:rsid w:val="00D64B67"/>
    <w:rsid w:val="00D64F14"/>
    <w:rsid w:val="00D65A4B"/>
    <w:rsid w:val="00D66661"/>
    <w:rsid w:val="00D66AF8"/>
    <w:rsid w:val="00D66D9E"/>
    <w:rsid w:val="00D67145"/>
    <w:rsid w:val="00D70424"/>
    <w:rsid w:val="00D71A34"/>
    <w:rsid w:val="00D724E1"/>
    <w:rsid w:val="00D7371D"/>
    <w:rsid w:val="00D74444"/>
    <w:rsid w:val="00D746BE"/>
    <w:rsid w:val="00D7482F"/>
    <w:rsid w:val="00D757C7"/>
    <w:rsid w:val="00D764F0"/>
    <w:rsid w:val="00D76777"/>
    <w:rsid w:val="00D77C4C"/>
    <w:rsid w:val="00D808DC"/>
    <w:rsid w:val="00D80AE8"/>
    <w:rsid w:val="00D8164D"/>
    <w:rsid w:val="00D8185F"/>
    <w:rsid w:val="00D84E39"/>
    <w:rsid w:val="00D8533D"/>
    <w:rsid w:val="00D867F9"/>
    <w:rsid w:val="00D876D9"/>
    <w:rsid w:val="00D87C3A"/>
    <w:rsid w:val="00D90B1F"/>
    <w:rsid w:val="00D91168"/>
    <w:rsid w:val="00D915D5"/>
    <w:rsid w:val="00D91C69"/>
    <w:rsid w:val="00D924F2"/>
    <w:rsid w:val="00D93E46"/>
    <w:rsid w:val="00D94A7C"/>
    <w:rsid w:val="00D94BE9"/>
    <w:rsid w:val="00D94DD8"/>
    <w:rsid w:val="00D95896"/>
    <w:rsid w:val="00D965EE"/>
    <w:rsid w:val="00D978E8"/>
    <w:rsid w:val="00D97E91"/>
    <w:rsid w:val="00DA0159"/>
    <w:rsid w:val="00DA047D"/>
    <w:rsid w:val="00DA0B94"/>
    <w:rsid w:val="00DA0EAD"/>
    <w:rsid w:val="00DA0F62"/>
    <w:rsid w:val="00DA13F1"/>
    <w:rsid w:val="00DA17EC"/>
    <w:rsid w:val="00DA1A9C"/>
    <w:rsid w:val="00DA1DA6"/>
    <w:rsid w:val="00DA1DF2"/>
    <w:rsid w:val="00DA2D36"/>
    <w:rsid w:val="00DA3234"/>
    <w:rsid w:val="00DA4553"/>
    <w:rsid w:val="00DA46BA"/>
    <w:rsid w:val="00DA6304"/>
    <w:rsid w:val="00DA77B0"/>
    <w:rsid w:val="00DB08F4"/>
    <w:rsid w:val="00DB0CDD"/>
    <w:rsid w:val="00DB0EC2"/>
    <w:rsid w:val="00DB1B06"/>
    <w:rsid w:val="00DB2983"/>
    <w:rsid w:val="00DB2AE6"/>
    <w:rsid w:val="00DB2B93"/>
    <w:rsid w:val="00DB2DF2"/>
    <w:rsid w:val="00DB3535"/>
    <w:rsid w:val="00DB388A"/>
    <w:rsid w:val="00DB3ABB"/>
    <w:rsid w:val="00DB3B51"/>
    <w:rsid w:val="00DB3EFE"/>
    <w:rsid w:val="00DB4B1B"/>
    <w:rsid w:val="00DB5595"/>
    <w:rsid w:val="00DB5E9C"/>
    <w:rsid w:val="00DC0CE6"/>
    <w:rsid w:val="00DC1257"/>
    <w:rsid w:val="00DC1D37"/>
    <w:rsid w:val="00DC24BC"/>
    <w:rsid w:val="00DC259B"/>
    <w:rsid w:val="00DC2B72"/>
    <w:rsid w:val="00DC3DC0"/>
    <w:rsid w:val="00DC563B"/>
    <w:rsid w:val="00DC5B2B"/>
    <w:rsid w:val="00DC5FF0"/>
    <w:rsid w:val="00DC6B01"/>
    <w:rsid w:val="00DC7D41"/>
    <w:rsid w:val="00DD0574"/>
    <w:rsid w:val="00DD318D"/>
    <w:rsid w:val="00DD3209"/>
    <w:rsid w:val="00DD3422"/>
    <w:rsid w:val="00DD3FA8"/>
    <w:rsid w:val="00DD53A3"/>
    <w:rsid w:val="00DD7151"/>
    <w:rsid w:val="00DD7E7A"/>
    <w:rsid w:val="00DE2843"/>
    <w:rsid w:val="00DE4321"/>
    <w:rsid w:val="00DE6DDB"/>
    <w:rsid w:val="00DE6EA1"/>
    <w:rsid w:val="00DF24AC"/>
    <w:rsid w:val="00DF2E12"/>
    <w:rsid w:val="00DF3AD8"/>
    <w:rsid w:val="00DF514A"/>
    <w:rsid w:val="00DF6690"/>
    <w:rsid w:val="00DF6804"/>
    <w:rsid w:val="00DF6D73"/>
    <w:rsid w:val="00DF6F0B"/>
    <w:rsid w:val="00DF71BE"/>
    <w:rsid w:val="00DF74DC"/>
    <w:rsid w:val="00E00B6D"/>
    <w:rsid w:val="00E01201"/>
    <w:rsid w:val="00E01900"/>
    <w:rsid w:val="00E01EB4"/>
    <w:rsid w:val="00E02B3E"/>
    <w:rsid w:val="00E02D65"/>
    <w:rsid w:val="00E02EC6"/>
    <w:rsid w:val="00E0358D"/>
    <w:rsid w:val="00E03621"/>
    <w:rsid w:val="00E038E9"/>
    <w:rsid w:val="00E03C87"/>
    <w:rsid w:val="00E04323"/>
    <w:rsid w:val="00E0449F"/>
    <w:rsid w:val="00E05E6F"/>
    <w:rsid w:val="00E06CB1"/>
    <w:rsid w:val="00E070A2"/>
    <w:rsid w:val="00E11320"/>
    <w:rsid w:val="00E1169D"/>
    <w:rsid w:val="00E117E9"/>
    <w:rsid w:val="00E1253E"/>
    <w:rsid w:val="00E129A9"/>
    <w:rsid w:val="00E13C48"/>
    <w:rsid w:val="00E14029"/>
    <w:rsid w:val="00E14165"/>
    <w:rsid w:val="00E14BA1"/>
    <w:rsid w:val="00E152E3"/>
    <w:rsid w:val="00E1603F"/>
    <w:rsid w:val="00E17A12"/>
    <w:rsid w:val="00E17A36"/>
    <w:rsid w:val="00E2079F"/>
    <w:rsid w:val="00E20CBE"/>
    <w:rsid w:val="00E20D1C"/>
    <w:rsid w:val="00E21868"/>
    <w:rsid w:val="00E21A2E"/>
    <w:rsid w:val="00E22CBE"/>
    <w:rsid w:val="00E22ECC"/>
    <w:rsid w:val="00E2312B"/>
    <w:rsid w:val="00E23A6F"/>
    <w:rsid w:val="00E24D86"/>
    <w:rsid w:val="00E25FD6"/>
    <w:rsid w:val="00E2656A"/>
    <w:rsid w:val="00E267AF"/>
    <w:rsid w:val="00E2723F"/>
    <w:rsid w:val="00E27734"/>
    <w:rsid w:val="00E3335E"/>
    <w:rsid w:val="00E35450"/>
    <w:rsid w:val="00E36383"/>
    <w:rsid w:val="00E363BB"/>
    <w:rsid w:val="00E37936"/>
    <w:rsid w:val="00E4060B"/>
    <w:rsid w:val="00E412D0"/>
    <w:rsid w:val="00E41569"/>
    <w:rsid w:val="00E4161B"/>
    <w:rsid w:val="00E41DCD"/>
    <w:rsid w:val="00E42AD6"/>
    <w:rsid w:val="00E43526"/>
    <w:rsid w:val="00E43BB4"/>
    <w:rsid w:val="00E43C75"/>
    <w:rsid w:val="00E452DC"/>
    <w:rsid w:val="00E45785"/>
    <w:rsid w:val="00E458D5"/>
    <w:rsid w:val="00E45AD0"/>
    <w:rsid w:val="00E46399"/>
    <w:rsid w:val="00E46D3B"/>
    <w:rsid w:val="00E47574"/>
    <w:rsid w:val="00E47C44"/>
    <w:rsid w:val="00E52BA5"/>
    <w:rsid w:val="00E53304"/>
    <w:rsid w:val="00E53804"/>
    <w:rsid w:val="00E538F0"/>
    <w:rsid w:val="00E539AF"/>
    <w:rsid w:val="00E547CB"/>
    <w:rsid w:val="00E54E18"/>
    <w:rsid w:val="00E551D5"/>
    <w:rsid w:val="00E55993"/>
    <w:rsid w:val="00E56322"/>
    <w:rsid w:val="00E56623"/>
    <w:rsid w:val="00E569CD"/>
    <w:rsid w:val="00E56E88"/>
    <w:rsid w:val="00E60982"/>
    <w:rsid w:val="00E62C62"/>
    <w:rsid w:val="00E63775"/>
    <w:rsid w:val="00E644B7"/>
    <w:rsid w:val="00E654C1"/>
    <w:rsid w:val="00E65D97"/>
    <w:rsid w:val="00E66971"/>
    <w:rsid w:val="00E67845"/>
    <w:rsid w:val="00E67C79"/>
    <w:rsid w:val="00E7007D"/>
    <w:rsid w:val="00E70E59"/>
    <w:rsid w:val="00E71097"/>
    <w:rsid w:val="00E7178F"/>
    <w:rsid w:val="00E72A5A"/>
    <w:rsid w:val="00E73244"/>
    <w:rsid w:val="00E73354"/>
    <w:rsid w:val="00E73D6D"/>
    <w:rsid w:val="00E74C14"/>
    <w:rsid w:val="00E76003"/>
    <w:rsid w:val="00E76341"/>
    <w:rsid w:val="00E77245"/>
    <w:rsid w:val="00E775F9"/>
    <w:rsid w:val="00E8002B"/>
    <w:rsid w:val="00E82C26"/>
    <w:rsid w:val="00E84439"/>
    <w:rsid w:val="00E8461F"/>
    <w:rsid w:val="00E85F23"/>
    <w:rsid w:val="00E864FC"/>
    <w:rsid w:val="00E86AD7"/>
    <w:rsid w:val="00E8736F"/>
    <w:rsid w:val="00E876F5"/>
    <w:rsid w:val="00E9242D"/>
    <w:rsid w:val="00E93D31"/>
    <w:rsid w:val="00E9521A"/>
    <w:rsid w:val="00E952B0"/>
    <w:rsid w:val="00E95A5D"/>
    <w:rsid w:val="00E9660C"/>
    <w:rsid w:val="00E96F93"/>
    <w:rsid w:val="00E97411"/>
    <w:rsid w:val="00EA0E39"/>
    <w:rsid w:val="00EA0E69"/>
    <w:rsid w:val="00EA1213"/>
    <w:rsid w:val="00EA12F6"/>
    <w:rsid w:val="00EA419E"/>
    <w:rsid w:val="00EA43E0"/>
    <w:rsid w:val="00EA530C"/>
    <w:rsid w:val="00EA7B99"/>
    <w:rsid w:val="00EB002E"/>
    <w:rsid w:val="00EB022B"/>
    <w:rsid w:val="00EB0A71"/>
    <w:rsid w:val="00EB1BD6"/>
    <w:rsid w:val="00EB2331"/>
    <w:rsid w:val="00EB3A94"/>
    <w:rsid w:val="00EB3BE2"/>
    <w:rsid w:val="00EB3C58"/>
    <w:rsid w:val="00EB405E"/>
    <w:rsid w:val="00EB4FFC"/>
    <w:rsid w:val="00EB5158"/>
    <w:rsid w:val="00EB5255"/>
    <w:rsid w:val="00EB5C47"/>
    <w:rsid w:val="00EB62BD"/>
    <w:rsid w:val="00EB7F9B"/>
    <w:rsid w:val="00EC0741"/>
    <w:rsid w:val="00EC0FC8"/>
    <w:rsid w:val="00EC49EF"/>
    <w:rsid w:val="00EC6DA0"/>
    <w:rsid w:val="00ED0639"/>
    <w:rsid w:val="00ED12E8"/>
    <w:rsid w:val="00ED1A13"/>
    <w:rsid w:val="00ED20B5"/>
    <w:rsid w:val="00ED46E6"/>
    <w:rsid w:val="00ED4BB3"/>
    <w:rsid w:val="00ED4FB6"/>
    <w:rsid w:val="00ED512F"/>
    <w:rsid w:val="00ED6347"/>
    <w:rsid w:val="00EE1392"/>
    <w:rsid w:val="00EE1C74"/>
    <w:rsid w:val="00EE21C5"/>
    <w:rsid w:val="00EE2E22"/>
    <w:rsid w:val="00EE3CCF"/>
    <w:rsid w:val="00EE4409"/>
    <w:rsid w:val="00EE55FF"/>
    <w:rsid w:val="00EE625C"/>
    <w:rsid w:val="00EE6300"/>
    <w:rsid w:val="00EE6F3F"/>
    <w:rsid w:val="00EE7462"/>
    <w:rsid w:val="00EE7ABC"/>
    <w:rsid w:val="00EF0A6B"/>
    <w:rsid w:val="00EF1479"/>
    <w:rsid w:val="00EF1994"/>
    <w:rsid w:val="00EF1AA9"/>
    <w:rsid w:val="00EF3700"/>
    <w:rsid w:val="00EF4755"/>
    <w:rsid w:val="00EF534D"/>
    <w:rsid w:val="00EF5396"/>
    <w:rsid w:val="00EF59B5"/>
    <w:rsid w:val="00EF5C90"/>
    <w:rsid w:val="00EF5DF2"/>
    <w:rsid w:val="00EF7135"/>
    <w:rsid w:val="00F01532"/>
    <w:rsid w:val="00F01C0E"/>
    <w:rsid w:val="00F027DB"/>
    <w:rsid w:val="00F03037"/>
    <w:rsid w:val="00F038F5"/>
    <w:rsid w:val="00F03EB6"/>
    <w:rsid w:val="00F05454"/>
    <w:rsid w:val="00F059CF"/>
    <w:rsid w:val="00F102A4"/>
    <w:rsid w:val="00F10555"/>
    <w:rsid w:val="00F10579"/>
    <w:rsid w:val="00F11CBC"/>
    <w:rsid w:val="00F12494"/>
    <w:rsid w:val="00F13260"/>
    <w:rsid w:val="00F14A7A"/>
    <w:rsid w:val="00F14AB6"/>
    <w:rsid w:val="00F15A53"/>
    <w:rsid w:val="00F16A0F"/>
    <w:rsid w:val="00F16DDE"/>
    <w:rsid w:val="00F20DD6"/>
    <w:rsid w:val="00F22985"/>
    <w:rsid w:val="00F23796"/>
    <w:rsid w:val="00F23CDD"/>
    <w:rsid w:val="00F240F1"/>
    <w:rsid w:val="00F254B5"/>
    <w:rsid w:val="00F25ADB"/>
    <w:rsid w:val="00F25BEE"/>
    <w:rsid w:val="00F26055"/>
    <w:rsid w:val="00F26BA6"/>
    <w:rsid w:val="00F32B79"/>
    <w:rsid w:val="00F3383E"/>
    <w:rsid w:val="00F33AD8"/>
    <w:rsid w:val="00F34BD0"/>
    <w:rsid w:val="00F35C8A"/>
    <w:rsid w:val="00F37268"/>
    <w:rsid w:val="00F379A5"/>
    <w:rsid w:val="00F40B9C"/>
    <w:rsid w:val="00F4162C"/>
    <w:rsid w:val="00F41D17"/>
    <w:rsid w:val="00F4274A"/>
    <w:rsid w:val="00F44E4E"/>
    <w:rsid w:val="00F450AB"/>
    <w:rsid w:val="00F465A7"/>
    <w:rsid w:val="00F50185"/>
    <w:rsid w:val="00F50B7C"/>
    <w:rsid w:val="00F532DC"/>
    <w:rsid w:val="00F534F2"/>
    <w:rsid w:val="00F54AD6"/>
    <w:rsid w:val="00F550E6"/>
    <w:rsid w:val="00F562E5"/>
    <w:rsid w:val="00F571DC"/>
    <w:rsid w:val="00F57E47"/>
    <w:rsid w:val="00F6162D"/>
    <w:rsid w:val="00F628D8"/>
    <w:rsid w:val="00F62F5C"/>
    <w:rsid w:val="00F63048"/>
    <w:rsid w:val="00F633EB"/>
    <w:rsid w:val="00F64296"/>
    <w:rsid w:val="00F64CFA"/>
    <w:rsid w:val="00F705F6"/>
    <w:rsid w:val="00F70FAC"/>
    <w:rsid w:val="00F71844"/>
    <w:rsid w:val="00F71FF4"/>
    <w:rsid w:val="00F74345"/>
    <w:rsid w:val="00F7439C"/>
    <w:rsid w:val="00F75322"/>
    <w:rsid w:val="00F76202"/>
    <w:rsid w:val="00F770B4"/>
    <w:rsid w:val="00F80A0A"/>
    <w:rsid w:val="00F81260"/>
    <w:rsid w:val="00F82B19"/>
    <w:rsid w:val="00F84484"/>
    <w:rsid w:val="00F84AC2"/>
    <w:rsid w:val="00F85340"/>
    <w:rsid w:val="00F857AE"/>
    <w:rsid w:val="00F85F2A"/>
    <w:rsid w:val="00F87F3E"/>
    <w:rsid w:val="00F906FB"/>
    <w:rsid w:val="00F9170D"/>
    <w:rsid w:val="00F917DA"/>
    <w:rsid w:val="00F91817"/>
    <w:rsid w:val="00F9212D"/>
    <w:rsid w:val="00F9213F"/>
    <w:rsid w:val="00F926E9"/>
    <w:rsid w:val="00F9290B"/>
    <w:rsid w:val="00F965DA"/>
    <w:rsid w:val="00F96992"/>
    <w:rsid w:val="00FA0EF8"/>
    <w:rsid w:val="00FA15A4"/>
    <w:rsid w:val="00FA406A"/>
    <w:rsid w:val="00FA4F9E"/>
    <w:rsid w:val="00FA5406"/>
    <w:rsid w:val="00FA6458"/>
    <w:rsid w:val="00FA769F"/>
    <w:rsid w:val="00FA78F1"/>
    <w:rsid w:val="00FB18B6"/>
    <w:rsid w:val="00FB2140"/>
    <w:rsid w:val="00FB3B00"/>
    <w:rsid w:val="00FB4DFD"/>
    <w:rsid w:val="00FB4E6B"/>
    <w:rsid w:val="00FB503A"/>
    <w:rsid w:val="00FB516C"/>
    <w:rsid w:val="00FB6353"/>
    <w:rsid w:val="00FB6869"/>
    <w:rsid w:val="00FB6BB2"/>
    <w:rsid w:val="00FB7389"/>
    <w:rsid w:val="00FB77B4"/>
    <w:rsid w:val="00FC0210"/>
    <w:rsid w:val="00FC0502"/>
    <w:rsid w:val="00FC077E"/>
    <w:rsid w:val="00FC10A1"/>
    <w:rsid w:val="00FC1E9B"/>
    <w:rsid w:val="00FC2643"/>
    <w:rsid w:val="00FC28AD"/>
    <w:rsid w:val="00FC5238"/>
    <w:rsid w:val="00FC5BB4"/>
    <w:rsid w:val="00FC5BC8"/>
    <w:rsid w:val="00FC5DDB"/>
    <w:rsid w:val="00FC6B54"/>
    <w:rsid w:val="00FD0236"/>
    <w:rsid w:val="00FD0916"/>
    <w:rsid w:val="00FD18F4"/>
    <w:rsid w:val="00FD2B62"/>
    <w:rsid w:val="00FD36F5"/>
    <w:rsid w:val="00FD3C41"/>
    <w:rsid w:val="00FD47B6"/>
    <w:rsid w:val="00FD5387"/>
    <w:rsid w:val="00FD54DB"/>
    <w:rsid w:val="00FD5AEE"/>
    <w:rsid w:val="00FD619F"/>
    <w:rsid w:val="00FD6EA7"/>
    <w:rsid w:val="00FD7B69"/>
    <w:rsid w:val="00FE033C"/>
    <w:rsid w:val="00FE0E89"/>
    <w:rsid w:val="00FE111A"/>
    <w:rsid w:val="00FE2387"/>
    <w:rsid w:val="00FE3F29"/>
    <w:rsid w:val="00FE5C7F"/>
    <w:rsid w:val="00FE5EDC"/>
    <w:rsid w:val="00FE70AE"/>
    <w:rsid w:val="00FF060B"/>
    <w:rsid w:val="00FF06AD"/>
    <w:rsid w:val="00FF0E9F"/>
    <w:rsid w:val="00FF1A19"/>
    <w:rsid w:val="00FF1AAD"/>
    <w:rsid w:val="00FF1CBB"/>
    <w:rsid w:val="00FF2199"/>
    <w:rsid w:val="00FF24F5"/>
    <w:rsid w:val="00FF280E"/>
    <w:rsid w:val="00FF3819"/>
    <w:rsid w:val="00FF3DCF"/>
    <w:rsid w:val="00FF5015"/>
    <w:rsid w:val="00FF5406"/>
    <w:rsid w:val="00FF5B8E"/>
    <w:rsid w:val="00FF6198"/>
    <w:rsid w:val="00FF6422"/>
    <w:rsid w:val="00FF6962"/>
    <w:rsid w:val="01050F22"/>
    <w:rsid w:val="01290F7E"/>
    <w:rsid w:val="015D1E09"/>
    <w:rsid w:val="01AA6604"/>
    <w:rsid w:val="02697903"/>
    <w:rsid w:val="02A27C91"/>
    <w:rsid w:val="02F96569"/>
    <w:rsid w:val="03EA7B21"/>
    <w:rsid w:val="05F83EAE"/>
    <w:rsid w:val="063E7D85"/>
    <w:rsid w:val="066D7B6C"/>
    <w:rsid w:val="07293586"/>
    <w:rsid w:val="07295285"/>
    <w:rsid w:val="07302A71"/>
    <w:rsid w:val="07636392"/>
    <w:rsid w:val="07770C56"/>
    <w:rsid w:val="07A1396F"/>
    <w:rsid w:val="07EB253E"/>
    <w:rsid w:val="085536C2"/>
    <w:rsid w:val="08740015"/>
    <w:rsid w:val="087C3FB5"/>
    <w:rsid w:val="092217DD"/>
    <w:rsid w:val="093A7294"/>
    <w:rsid w:val="09D250AB"/>
    <w:rsid w:val="0A263993"/>
    <w:rsid w:val="0A2D3AC2"/>
    <w:rsid w:val="0A5254C4"/>
    <w:rsid w:val="0AA755DF"/>
    <w:rsid w:val="0B120D44"/>
    <w:rsid w:val="0BD27BF6"/>
    <w:rsid w:val="0C3B3C7D"/>
    <w:rsid w:val="0CAB2EAE"/>
    <w:rsid w:val="0CC3414B"/>
    <w:rsid w:val="0D621C7D"/>
    <w:rsid w:val="0E73034D"/>
    <w:rsid w:val="0EDB7766"/>
    <w:rsid w:val="0F13775A"/>
    <w:rsid w:val="0F5F45FE"/>
    <w:rsid w:val="0F9A112B"/>
    <w:rsid w:val="0FC83A2D"/>
    <w:rsid w:val="106D2F64"/>
    <w:rsid w:val="10B63710"/>
    <w:rsid w:val="10F10820"/>
    <w:rsid w:val="11162CD7"/>
    <w:rsid w:val="111C2F7A"/>
    <w:rsid w:val="11665CA1"/>
    <w:rsid w:val="13951726"/>
    <w:rsid w:val="14396509"/>
    <w:rsid w:val="14DD2C3C"/>
    <w:rsid w:val="15565D98"/>
    <w:rsid w:val="15CC6AD6"/>
    <w:rsid w:val="16087E1D"/>
    <w:rsid w:val="17701D14"/>
    <w:rsid w:val="17735226"/>
    <w:rsid w:val="17A17FEB"/>
    <w:rsid w:val="17DD73D3"/>
    <w:rsid w:val="1817172C"/>
    <w:rsid w:val="189F624C"/>
    <w:rsid w:val="19800B03"/>
    <w:rsid w:val="199A3E11"/>
    <w:rsid w:val="19B04F43"/>
    <w:rsid w:val="19C86B39"/>
    <w:rsid w:val="19C94185"/>
    <w:rsid w:val="1A1C66C0"/>
    <w:rsid w:val="1A42393B"/>
    <w:rsid w:val="1AAD45DE"/>
    <w:rsid w:val="1B046F80"/>
    <w:rsid w:val="1B3267B5"/>
    <w:rsid w:val="1B40161D"/>
    <w:rsid w:val="1B441859"/>
    <w:rsid w:val="1B6606B1"/>
    <w:rsid w:val="1BC976E2"/>
    <w:rsid w:val="1BFF3C42"/>
    <w:rsid w:val="1C395054"/>
    <w:rsid w:val="1C5E7925"/>
    <w:rsid w:val="1CFD070F"/>
    <w:rsid w:val="1D2E13A9"/>
    <w:rsid w:val="1D5F6196"/>
    <w:rsid w:val="1D6132A5"/>
    <w:rsid w:val="1D8E56D5"/>
    <w:rsid w:val="1D90724A"/>
    <w:rsid w:val="1DB711AC"/>
    <w:rsid w:val="1E7A43DA"/>
    <w:rsid w:val="1FE7539E"/>
    <w:rsid w:val="20671BE0"/>
    <w:rsid w:val="20684BD2"/>
    <w:rsid w:val="20963CB8"/>
    <w:rsid w:val="20A81A1B"/>
    <w:rsid w:val="20B07FB6"/>
    <w:rsid w:val="20B646FB"/>
    <w:rsid w:val="20CD01E5"/>
    <w:rsid w:val="213B74B1"/>
    <w:rsid w:val="21544B2C"/>
    <w:rsid w:val="215A2310"/>
    <w:rsid w:val="219135A2"/>
    <w:rsid w:val="21DE318A"/>
    <w:rsid w:val="21EF5B80"/>
    <w:rsid w:val="22576990"/>
    <w:rsid w:val="22AF6191"/>
    <w:rsid w:val="22F47480"/>
    <w:rsid w:val="22FA21AD"/>
    <w:rsid w:val="233C67FF"/>
    <w:rsid w:val="23DE1C48"/>
    <w:rsid w:val="240210CD"/>
    <w:rsid w:val="24BF09F7"/>
    <w:rsid w:val="252D53FE"/>
    <w:rsid w:val="25EC2D81"/>
    <w:rsid w:val="277057A2"/>
    <w:rsid w:val="27BC5F2F"/>
    <w:rsid w:val="27C004D8"/>
    <w:rsid w:val="27CA3577"/>
    <w:rsid w:val="29206EB8"/>
    <w:rsid w:val="29595666"/>
    <w:rsid w:val="29874881"/>
    <w:rsid w:val="2996309E"/>
    <w:rsid w:val="29E325E0"/>
    <w:rsid w:val="2A266BA4"/>
    <w:rsid w:val="2A452503"/>
    <w:rsid w:val="2A8B3997"/>
    <w:rsid w:val="2AD97E95"/>
    <w:rsid w:val="2B1931B2"/>
    <w:rsid w:val="2B4C2C8F"/>
    <w:rsid w:val="2BA936A8"/>
    <w:rsid w:val="2C315A5A"/>
    <w:rsid w:val="2C414012"/>
    <w:rsid w:val="2C4B1C25"/>
    <w:rsid w:val="2C68000A"/>
    <w:rsid w:val="2C8C4C45"/>
    <w:rsid w:val="2CC277B6"/>
    <w:rsid w:val="2D49753A"/>
    <w:rsid w:val="2D9E56F5"/>
    <w:rsid w:val="2E667F96"/>
    <w:rsid w:val="2E8226AB"/>
    <w:rsid w:val="2F6824F8"/>
    <w:rsid w:val="2F805A94"/>
    <w:rsid w:val="2FD065E6"/>
    <w:rsid w:val="2FD96870"/>
    <w:rsid w:val="304033D7"/>
    <w:rsid w:val="30580BC9"/>
    <w:rsid w:val="311E2ED7"/>
    <w:rsid w:val="315619EE"/>
    <w:rsid w:val="315C449C"/>
    <w:rsid w:val="31B82709"/>
    <w:rsid w:val="31BB0118"/>
    <w:rsid w:val="31D05482"/>
    <w:rsid w:val="31E411CB"/>
    <w:rsid w:val="32400B34"/>
    <w:rsid w:val="329E6876"/>
    <w:rsid w:val="33226F5F"/>
    <w:rsid w:val="333015F2"/>
    <w:rsid w:val="334B6320"/>
    <w:rsid w:val="33D934D4"/>
    <w:rsid w:val="33EB73F7"/>
    <w:rsid w:val="33FE2F6A"/>
    <w:rsid w:val="340E07E5"/>
    <w:rsid w:val="34235BF7"/>
    <w:rsid w:val="342C61EA"/>
    <w:rsid w:val="358C5FA8"/>
    <w:rsid w:val="35C15DF1"/>
    <w:rsid w:val="36074A7F"/>
    <w:rsid w:val="365C00F5"/>
    <w:rsid w:val="36923549"/>
    <w:rsid w:val="36B75FBF"/>
    <w:rsid w:val="36BD0C45"/>
    <w:rsid w:val="374077DE"/>
    <w:rsid w:val="37E00298"/>
    <w:rsid w:val="38B302F9"/>
    <w:rsid w:val="38EC576C"/>
    <w:rsid w:val="38F12CD3"/>
    <w:rsid w:val="38F94775"/>
    <w:rsid w:val="39225E2A"/>
    <w:rsid w:val="392971ED"/>
    <w:rsid w:val="392C6D9B"/>
    <w:rsid w:val="39325651"/>
    <w:rsid w:val="39F72DF7"/>
    <w:rsid w:val="3A872856"/>
    <w:rsid w:val="3AF45588"/>
    <w:rsid w:val="3B3763D1"/>
    <w:rsid w:val="3C2F6E1E"/>
    <w:rsid w:val="3C4F64BA"/>
    <w:rsid w:val="3CDA245A"/>
    <w:rsid w:val="3D1E06B7"/>
    <w:rsid w:val="3EB241DA"/>
    <w:rsid w:val="3EDA0523"/>
    <w:rsid w:val="404A79DE"/>
    <w:rsid w:val="405F028A"/>
    <w:rsid w:val="407A6407"/>
    <w:rsid w:val="41B14053"/>
    <w:rsid w:val="4200449D"/>
    <w:rsid w:val="423A3BCC"/>
    <w:rsid w:val="424E57D2"/>
    <w:rsid w:val="42B26C49"/>
    <w:rsid w:val="431E11D6"/>
    <w:rsid w:val="433A6FE6"/>
    <w:rsid w:val="43480868"/>
    <w:rsid w:val="4350713C"/>
    <w:rsid w:val="436653E0"/>
    <w:rsid w:val="43C4431A"/>
    <w:rsid w:val="43E503D2"/>
    <w:rsid w:val="441A605F"/>
    <w:rsid w:val="445666F7"/>
    <w:rsid w:val="44B951CC"/>
    <w:rsid w:val="44CD14E0"/>
    <w:rsid w:val="44F20B0B"/>
    <w:rsid w:val="452E5F4C"/>
    <w:rsid w:val="45612018"/>
    <w:rsid w:val="458946E9"/>
    <w:rsid w:val="45A47C0E"/>
    <w:rsid w:val="45B5258F"/>
    <w:rsid w:val="461103F6"/>
    <w:rsid w:val="46577FD6"/>
    <w:rsid w:val="46D955A7"/>
    <w:rsid w:val="46DC584E"/>
    <w:rsid w:val="46E747AD"/>
    <w:rsid w:val="47133957"/>
    <w:rsid w:val="479C322F"/>
    <w:rsid w:val="47A07E0C"/>
    <w:rsid w:val="47C307BC"/>
    <w:rsid w:val="4870272E"/>
    <w:rsid w:val="48B10A31"/>
    <w:rsid w:val="49D104B4"/>
    <w:rsid w:val="49DC7715"/>
    <w:rsid w:val="4A023139"/>
    <w:rsid w:val="4A161F8C"/>
    <w:rsid w:val="4A7B576F"/>
    <w:rsid w:val="4AB4746D"/>
    <w:rsid w:val="4AF561A9"/>
    <w:rsid w:val="4B390A63"/>
    <w:rsid w:val="4C4A0649"/>
    <w:rsid w:val="4C7E5ECA"/>
    <w:rsid w:val="4C876AA5"/>
    <w:rsid w:val="4D0E00FB"/>
    <w:rsid w:val="4D176606"/>
    <w:rsid w:val="4DEC4FB0"/>
    <w:rsid w:val="4E075D8A"/>
    <w:rsid w:val="4EAD187E"/>
    <w:rsid w:val="4EC00FAD"/>
    <w:rsid w:val="4ED212E5"/>
    <w:rsid w:val="4F9611DE"/>
    <w:rsid w:val="4F9843DC"/>
    <w:rsid w:val="4FC62A8C"/>
    <w:rsid w:val="4FE20F0D"/>
    <w:rsid w:val="4FE51552"/>
    <w:rsid w:val="50504C4B"/>
    <w:rsid w:val="509C6E7C"/>
    <w:rsid w:val="50E83041"/>
    <w:rsid w:val="5162104E"/>
    <w:rsid w:val="520404A8"/>
    <w:rsid w:val="52D90E94"/>
    <w:rsid w:val="536223D8"/>
    <w:rsid w:val="53A039CC"/>
    <w:rsid w:val="53A1505A"/>
    <w:rsid w:val="54063E08"/>
    <w:rsid w:val="543437E8"/>
    <w:rsid w:val="54F73313"/>
    <w:rsid w:val="54F80955"/>
    <w:rsid w:val="555170A7"/>
    <w:rsid w:val="5587536D"/>
    <w:rsid w:val="559B174B"/>
    <w:rsid w:val="55CE0CF4"/>
    <w:rsid w:val="5606196D"/>
    <w:rsid w:val="562A5C20"/>
    <w:rsid w:val="56731BCE"/>
    <w:rsid w:val="56B22A9C"/>
    <w:rsid w:val="5798375E"/>
    <w:rsid w:val="57B72A76"/>
    <w:rsid w:val="57C3426C"/>
    <w:rsid w:val="57CE1F93"/>
    <w:rsid w:val="588743D1"/>
    <w:rsid w:val="5887701A"/>
    <w:rsid w:val="58E91C22"/>
    <w:rsid w:val="59030C3A"/>
    <w:rsid w:val="59C0439F"/>
    <w:rsid w:val="59CE7432"/>
    <w:rsid w:val="5A010828"/>
    <w:rsid w:val="5A345225"/>
    <w:rsid w:val="5AA61FA3"/>
    <w:rsid w:val="5ABE2233"/>
    <w:rsid w:val="5B1D0885"/>
    <w:rsid w:val="5BDF5D95"/>
    <w:rsid w:val="5BFE7528"/>
    <w:rsid w:val="5CF8740E"/>
    <w:rsid w:val="5E04248B"/>
    <w:rsid w:val="5E2467F1"/>
    <w:rsid w:val="5F1A2B43"/>
    <w:rsid w:val="5FB837BB"/>
    <w:rsid w:val="60B621FE"/>
    <w:rsid w:val="60CC405A"/>
    <w:rsid w:val="61E215D8"/>
    <w:rsid w:val="61F0607B"/>
    <w:rsid w:val="621B3775"/>
    <w:rsid w:val="62364782"/>
    <w:rsid w:val="62A07F3E"/>
    <w:rsid w:val="631931D8"/>
    <w:rsid w:val="635A04A6"/>
    <w:rsid w:val="636C365E"/>
    <w:rsid w:val="6394356A"/>
    <w:rsid w:val="63A64DC2"/>
    <w:rsid w:val="63C61B2C"/>
    <w:rsid w:val="63D40BE9"/>
    <w:rsid w:val="63D72326"/>
    <w:rsid w:val="64102431"/>
    <w:rsid w:val="64A5243A"/>
    <w:rsid w:val="64D97995"/>
    <w:rsid w:val="64F531DE"/>
    <w:rsid w:val="65373578"/>
    <w:rsid w:val="6588329D"/>
    <w:rsid w:val="662704FC"/>
    <w:rsid w:val="671F124A"/>
    <w:rsid w:val="677A33C6"/>
    <w:rsid w:val="681F6961"/>
    <w:rsid w:val="68610A2F"/>
    <w:rsid w:val="687851EF"/>
    <w:rsid w:val="68805514"/>
    <w:rsid w:val="68C217C3"/>
    <w:rsid w:val="69316E2F"/>
    <w:rsid w:val="694E2071"/>
    <w:rsid w:val="69766163"/>
    <w:rsid w:val="697A3B33"/>
    <w:rsid w:val="69D44760"/>
    <w:rsid w:val="69DA57C5"/>
    <w:rsid w:val="6A520EC7"/>
    <w:rsid w:val="6AF87E20"/>
    <w:rsid w:val="6B322639"/>
    <w:rsid w:val="6B8D6867"/>
    <w:rsid w:val="6BD74A8A"/>
    <w:rsid w:val="6C33740F"/>
    <w:rsid w:val="6C636C38"/>
    <w:rsid w:val="6C8D15E8"/>
    <w:rsid w:val="6CEE4BEA"/>
    <w:rsid w:val="6D401C3C"/>
    <w:rsid w:val="6DB34098"/>
    <w:rsid w:val="6DB545B6"/>
    <w:rsid w:val="6DE02FB4"/>
    <w:rsid w:val="6E514CED"/>
    <w:rsid w:val="6EB563D5"/>
    <w:rsid w:val="6ED92677"/>
    <w:rsid w:val="6F225983"/>
    <w:rsid w:val="6FFC5590"/>
    <w:rsid w:val="706D1DD0"/>
    <w:rsid w:val="70856B87"/>
    <w:rsid w:val="70D10A62"/>
    <w:rsid w:val="70D527EE"/>
    <w:rsid w:val="715B5300"/>
    <w:rsid w:val="71D27F8A"/>
    <w:rsid w:val="72553024"/>
    <w:rsid w:val="72936F77"/>
    <w:rsid w:val="73122968"/>
    <w:rsid w:val="731F5D5E"/>
    <w:rsid w:val="73236C3D"/>
    <w:rsid w:val="73B33351"/>
    <w:rsid w:val="73C51AD5"/>
    <w:rsid w:val="741E793C"/>
    <w:rsid w:val="745E3944"/>
    <w:rsid w:val="749F2696"/>
    <w:rsid w:val="74DB2AB0"/>
    <w:rsid w:val="74FB0192"/>
    <w:rsid w:val="7635099D"/>
    <w:rsid w:val="76A553AD"/>
    <w:rsid w:val="77762421"/>
    <w:rsid w:val="77B56B1F"/>
    <w:rsid w:val="780F09F4"/>
    <w:rsid w:val="78575FE0"/>
    <w:rsid w:val="78A90480"/>
    <w:rsid w:val="7A364017"/>
    <w:rsid w:val="7A8265E1"/>
    <w:rsid w:val="7AA977A4"/>
    <w:rsid w:val="7B01556A"/>
    <w:rsid w:val="7B686D42"/>
    <w:rsid w:val="7B841746"/>
    <w:rsid w:val="7C065C5B"/>
    <w:rsid w:val="7C5978F5"/>
    <w:rsid w:val="7C6C5AC7"/>
    <w:rsid w:val="7CC6544B"/>
    <w:rsid w:val="7D0239FF"/>
    <w:rsid w:val="7D5E40CD"/>
    <w:rsid w:val="7DCD56F2"/>
    <w:rsid w:val="7E364F8D"/>
    <w:rsid w:val="7F001CE7"/>
    <w:rsid w:val="7FE47E50"/>
    <w:rsid w:val="7FF906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99" w:semiHidden="0" w:name="annotation reference"/>
    <w:lsdException w:unhideWhenUsed="0" w:uiPriority="0" w:semiHidden="0" w:name="line number" w:locked="1"/>
    <w:lsdException w:qFormat="1" w:unhideWhenUsed="0" w:uiPriority="0" w:semiHidden="0" w:name="page number" w:locked="1"/>
    <w:lsdException w:qFormat="1" w:unhideWhenUsed="0" w:uiPriority="0" w:semiHidden="0" w:name="endnote reference" w:locked="1"/>
    <w:lsdException w:qFormat="1"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qFormat="1"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20">
    <w:name w:val="Default Paragraph Font"/>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link w:val="78"/>
    <w:qFormat/>
    <w:locked/>
    <w:uiPriority w:val="0"/>
    <w:pPr>
      <w:spacing w:before="240" w:after="60"/>
      <w:jc w:val="center"/>
      <w:outlineLvl w:val="0"/>
    </w:pPr>
    <w:rPr>
      <w:rFonts w:ascii="Cambria" w:hAnsi="Cambria"/>
      <w:b/>
      <w:bCs/>
      <w:sz w:val="32"/>
      <w:szCs w:val="32"/>
    </w:rPr>
  </w:style>
  <w:style w:type="paragraph" w:styleId="4">
    <w:name w:val="Normal Indent"/>
    <w:basedOn w:val="1"/>
    <w:link w:val="53"/>
    <w:qFormat/>
    <w:locked/>
    <w:uiPriority w:val="0"/>
    <w:rPr>
      <w:rFonts w:ascii="Calibri" w:hAnsi="Calibri"/>
      <w:kern w:val="0"/>
      <w:sz w:val="28"/>
      <w:szCs w:val="20"/>
    </w:rPr>
  </w:style>
  <w:style w:type="paragraph" w:styleId="5">
    <w:name w:val="annotation text"/>
    <w:basedOn w:val="1"/>
    <w:link w:val="32"/>
    <w:semiHidden/>
    <w:qFormat/>
    <w:uiPriority w:val="0"/>
    <w:pPr>
      <w:jc w:val="left"/>
    </w:pPr>
    <w:rPr>
      <w:kern w:val="0"/>
      <w:sz w:val="24"/>
      <w:szCs w:val="20"/>
    </w:rPr>
  </w:style>
  <w:style w:type="paragraph" w:styleId="6">
    <w:name w:val="Body Text"/>
    <w:basedOn w:val="1"/>
    <w:next w:val="7"/>
    <w:link w:val="52"/>
    <w:qFormat/>
    <w:uiPriority w:val="0"/>
    <w:pPr>
      <w:widowControl/>
      <w:snapToGrid w:val="0"/>
      <w:spacing w:before="60" w:after="160" w:line="259" w:lineRule="auto"/>
      <w:ind w:right="113"/>
    </w:pPr>
    <w:rPr>
      <w:kern w:val="0"/>
      <w:sz w:val="18"/>
      <w:szCs w:val="20"/>
    </w:rPr>
  </w:style>
  <w:style w:type="paragraph" w:customStyle="1" w:styleId="7">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styleId="8">
    <w:name w:val="Body Text Indent"/>
    <w:basedOn w:val="1"/>
    <w:link w:val="44"/>
    <w:qFormat/>
    <w:uiPriority w:val="0"/>
    <w:pPr>
      <w:spacing w:after="120"/>
      <w:ind w:left="420" w:leftChars="200"/>
    </w:pPr>
    <w:rPr>
      <w:kern w:val="0"/>
      <w:sz w:val="24"/>
      <w:szCs w:val="20"/>
    </w:rPr>
  </w:style>
  <w:style w:type="paragraph" w:styleId="9">
    <w:name w:val="Date"/>
    <w:basedOn w:val="1"/>
    <w:next w:val="1"/>
    <w:link w:val="26"/>
    <w:qFormat/>
    <w:uiPriority w:val="0"/>
    <w:pPr>
      <w:ind w:left="100" w:leftChars="2500"/>
    </w:pPr>
    <w:rPr>
      <w:kern w:val="0"/>
      <w:sz w:val="24"/>
      <w:szCs w:val="20"/>
    </w:rPr>
  </w:style>
  <w:style w:type="paragraph" w:styleId="10">
    <w:name w:val="endnote text"/>
    <w:basedOn w:val="1"/>
    <w:link w:val="79"/>
    <w:qFormat/>
    <w:locked/>
    <w:uiPriority w:val="0"/>
    <w:pPr>
      <w:snapToGrid w:val="0"/>
      <w:jc w:val="left"/>
    </w:pPr>
  </w:style>
  <w:style w:type="paragraph" w:styleId="11">
    <w:name w:val="Balloon Text"/>
    <w:basedOn w:val="1"/>
    <w:link w:val="49"/>
    <w:semiHidden/>
    <w:qFormat/>
    <w:uiPriority w:val="0"/>
    <w:rPr>
      <w:kern w:val="0"/>
      <w:sz w:val="18"/>
      <w:szCs w:val="20"/>
    </w:rPr>
  </w:style>
  <w:style w:type="paragraph" w:styleId="12">
    <w:name w:val="footer"/>
    <w:basedOn w:val="1"/>
    <w:link w:val="50"/>
    <w:qFormat/>
    <w:uiPriority w:val="99"/>
    <w:pPr>
      <w:tabs>
        <w:tab w:val="center" w:pos="4153"/>
        <w:tab w:val="right" w:pos="8306"/>
      </w:tabs>
      <w:snapToGrid w:val="0"/>
      <w:jc w:val="left"/>
    </w:pPr>
    <w:rPr>
      <w:kern w:val="0"/>
      <w:sz w:val="18"/>
      <w:szCs w:val="20"/>
    </w:rPr>
  </w:style>
  <w:style w:type="paragraph" w:styleId="13">
    <w:name w:val="header"/>
    <w:basedOn w:val="1"/>
    <w:link w:val="51"/>
    <w:qFormat/>
    <w:uiPriority w:val="0"/>
    <w:pPr>
      <w:pBdr>
        <w:bottom w:val="single" w:color="auto" w:sz="6" w:space="1"/>
      </w:pBdr>
      <w:tabs>
        <w:tab w:val="center" w:pos="4153"/>
        <w:tab w:val="right" w:pos="8306"/>
      </w:tabs>
      <w:snapToGrid w:val="0"/>
      <w:jc w:val="center"/>
    </w:pPr>
    <w:rPr>
      <w:kern w:val="0"/>
      <w:sz w:val="18"/>
      <w:szCs w:val="20"/>
    </w:rPr>
  </w:style>
  <w:style w:type="paragraph" w:styleId="14">
    <w:name w:val="Normal (Web)"/>
    <w:basedOn w:val="1"/>
    <w:link w:val="45"/>
    <w:qFormat/>
    <w:uiPriority w:val="0"/>
    <w:pPr>
      <w:widowControl/>
      <w:spacing w:before="100" w:beforeAutospacing="1" w:after="100" w:afterAutospacing="1"/>
      <w:jc w:val="left"/>
    </w:pPr>
    <w:rPr>
      <w:rFonts w:ascii="宋体" w:hAnsi="宋体"/>
      <w:kern w:val="0"/>
      <w:sz w:val="24"/>
      <w:szCs w:val="20"/>
    </w:rPr>
  </w:style>
  <w:style w:type="paragraph" w:styleId="15">
    <w:name w:val="annotation subject"/>
    <w:basedOn w:val="5"/>
    <w:next w:val="5"/>
    <w:link w:val="42"/>
    <w:semiHidden/>
    <w:qFormat/>
    <w:uiPriority w:val="0"/>
    <w:rPr>
      <w:b/>
      <w:kern w:val="2"/>
    </w:rPr>
  </w:style>
  <w:style w:type="paragraph" w:styleId="16">
    <w:name w:val="Body Text First Indent"/>
    <w:basedOn w:val="6"/>
    <w:link w:val="81"/>
    <w:qFormat/>
    <w:locked/>
    <w:uiPriority w:val="0"/>
    <w:pPr>
      <w:widowControl w:val="0"/>
      <w:snapToGrid/>
      <w:spacing w:before="0" w:after="120" w:line="240" w:lineRule="auto"/>
      <w:ind w:right="0" w:firstLine="420" w:firstLineChars="100"/>
    </w:pPr>
    <w:rPr>
      <w:kern w:val="2"/>
      <w:sz w:val="21"/>
      <w:szCs w:val="24"/>
    </w:rPr>
  </w:style>
  <w:style w:type="paragraph" w:styleId="17">
    <w:name w:val="Body Text First Indent 2"/>
    <w:basedOn w:val="8"/>
    <w:link w:val="43"/>
    <w:qFormat/>
    <w:locked/>
    <w:uiPriority w:val="0"/>
    <w:pPr>
      <w:ind w:firstLine="420" w:firstLineChars="200"/>
    </w:pPr>
    <w:rPr>
      <w:kern w:val="2"/>
      <w:sz w:val="21"/>
      <w:szCs w:val="24"/>
    </w:rPr>
  </w:style>
  <w:style w:type="table" w:styleId="19">
    <w:name w:val="Table Grid"/>
    <w:basedOn w:val="1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endnote reference"/>
    <w:basedOn w:val="20"/>
    <w:qFormat/>
    <w:locked/>
    <w:uiPriority w:val="0"/>
    <w:rPr>
      <w:vertAlign w:val="superscript"/>
    </w:rPr>
  </w:style>
  <w:style w:type="character" w:styleId="22">
    <w:name w:val="page number"/>
    <w:basedOn w:val="20"/>
    <w:qFormat/>
    <w:locked/>
    <w:uiPriority w:val="0"/>
  </w:style>
  <w:style w:type="character" w:styleId="23">
    <w:name w:val="HTML Code"/>
    <w:qFormat/>
    <w:locked/>
    <w:uiPriority w:val="0"/>
    <w:rPr>
      <w:rFonts w:hint="default" w:ascii="Consolas" w:hAnsi="Consolas" w:eastAsia="Consolas" w:cs="Consolas"/>
      <w:color w:val="C7254E"/>
      <w:sz w:val="21"/>
      <w:szCs w:val="21"/>
      <w:shd w:val="clear" w:color="auto" w:fill="F9F2F4"/>
    </w:rPr>
  </w:style>
  <w:style w:type="character" w:styleId="24">
    <w:name w:val="annotation reference"/>
    <w:qFormat/>
    <w:uiPriority w:val="99"/>
    <w:rPr>
      <w:sz w:val="21"/>
    </w:rPr>
  </w:style>
  <w:style w:type="paragraph" w:customStyle="1" w:styleId="25">
    <w:name w:val="高-正文"/>
    <w:basedOn w:val="1"/>
    <w:qFormat/>
    <w:uiPriority w:val="0"/>
    <w:pPr>
      <w:spacing w:line="360" w:lineRule="auto"/>
      <w:ind w:firstLine="643" w:firstLineChars="200"/>
    </w:pPr>
    <w:rPr>
      <w:kern w:val="0"/>
      <w:sz w:val="24"/>
      <w:szCs w:val="20"/>
    </w:rPr>
  </w:style>
  <w:style w:type="character" w:customStyle="1" w:styleId="26">
    <w:name w:val="日期 Char"/>
    <w:link w:val="9"/>
    <w:qFormat/>
    <w:locked/>
    <w:uiPriority w:val="0"/>
    <w:rPr>
      <w:rFonts w:ascii="Times New Roman" w:hAnsi="Times New Roman" w:eastAsia="宋体"/>
      <w:sz w:val="24"/>
    </w:rPr>
  </w:style>
  <w:style w:type="character" w:customStyle="1" w:styleId="27">
    <w:name w:val="font51"/>
    <w:qFormat/>
    <w:uiPriority w:val="0"/>
    <w:rPr>
      <w:rFonts w:hint="default" w:ascii="Times New Roman" w:hAnsi="Times New Roman" w:cs="Times New Roman"/>
      <w:color w:val="000000"/>
      <w:sz w:val="20"/>
      <w:szCs w:val="20"/>
      <w:u w:val="none"/>
    </w:rPr>
  </w:style>
  <w:style w:type="character" w:customStyle="1" w:styleId="28">
    <w:name w:val="正文文本 字符1"/>
    <w:semiHidden/>
    <w:qFormat/>
    <w:uiPriority w:val="0"/>
    <w:rPr>
      <w:rFonts w:ascii="Times New Roman" w:hAnsi="Times New Roman" w:eastAsia="宋体"/>
      <w:sz w:val="24"/>
    </w:rPr>
  </w:style>
  <w:style w:type="character" w:customStyle="1" w:styleId="29">
    <w:name w:val="日期 字符"/>
    <w:semiHidden/>
    <w:qFormat/>
    <w:uiPriority w:val="0"/>
    <w:rPr>
      <w:rFonts w:ascii="Times New Roman" w:hAnsi="Times New Roman" w:eastAsia="宋体"/>
      <w:sz w:val="24"/>
    </w:rPr>
  </w:style>
  <w:style w:type="character" w:customStyle="1" w:styleId="30">
    <w:name w:val="正文—高 Char"/>
    <w:link w:val="31"/>
    <w:qFormat/>
    <w:uiPriority w:val="0"/>
    <w:rPr>
      <w:color w:val="000000"/>
      <w:kern w:val="24"/>
      <w:sz w:val="24"/>
    </w:rPr>
  </w:style>
  <w:style w:type="paragraph" w:customStyle="1" w:styleId="31">
    <w:name w:val="正文—高"/>
    <w:basedOn w:val="1"/>
    <w:link w:val="30"/>
    <w:qFormat/>
    <w:uiPriority w:val="0"/>
    <w:pPr>
      <w:spacing w:line="360" w:lineRule="auto"/>
      <w:ind w:firstLine="1040" w:firstLineChars="200"/>
      <w:textAlignment w:val="baseline"/>
    </w:pPr>
    <w:rPr>
      <w:color w:val="000000"/>
      <w:kern w:val="24"/>
      <w:sz w:val="24"/>
      <w:szCs w:val="20"/>
    </w:rPr>
  </w:style>
  <w:style w:type="character" w:customStyle="1" w:styleId="32">
    <w:name w:val="批注文字 Char"/>
    <w:link w:val="5"/>
    <w:qFormat/>
    <w:locked/>
    <w:uiPriority w:val="0"/>
    <w:rPr>
      <w:rFonts w:ascii="Times New Roman" w:hAnsi="Times New Roman" w:eastAsia="宋体"/>
      <w:sz w:val="24"/>
    </w:rPr>
  </w:style>
  <w:style w:type="character" w:customStyle="1" w:styleId="33">
    <w:name w:val="yatong正文 Char"/>
    <w:link w:val="34"/>
    <w:qFormat/>
    <w:uiPriority w:val="0"/>
    <w:rPr>
      <w:rFonts w:ascii="宋体" w:hAnsi="宋体" w:cs="宋体"/>
      <w:kern w:val="2"/>
      <w:sz w:val="28"/>
      <w:szCs w:val="24"/>
    </w:rPr>
  </w:style>
  <w:style w:type="paragraph" w:customStyle="1" w:styleId="34">
    <w:name w:val="yatong正文"/>
    <w:basedOn w:val="1"/>
    <w:link w:val="33"/>
    <w:qFormat/>
    <w:uiPriority w:val="0"/>
    <w:pPr>
      <w:spacing w:before="10" w:after="10" w:line="360" w:lineRule="auto"/>
      <w:ind w:left="50" w:leftChars="50" w:right="50" w:rightChars="50" w:firstLine="200" w:firstLineChars="200"/>
    </w:pPr>
    <w:rPr>
      <w:rFonts w:ascii="宋体" w:hAnsi="宋体"/>
      <w:sz w:val="28"/>
    </w:rPr>
  </w:style>
  <w:style w:type="character" w:customStyle="1" w:styleId="35">
    <w:name w:val="表头—高 Char"/>
    <w:link w:val="36"/>
    <w:qFormat/>
    <w:uiPriority w:val="0"/>
    <w:rPr>
      <w:b/>
      <w:kern w:val="2"/>
      <w:sz w:val="21"/>
      <w:szCs w:val="24"/>
    </w:rPr>
  </w:style>
  <w:style w:type="paragraph" w:customStyle="1" w:styleId="36">
    <w:name w:val="表头—高"/>
    <w:basedOn w:val="1"/>
    <w:link w:val="35"/>
    <w:qFormat/>
    <w:uiPriority w:val="0"/>
    <w:pPr>
      <w:adjustRightInd w:val="0"/>
      <w:snapToGrid w:val="0"/>
      <w:spacing w:beforeLines="40" w:afterLines="10"/>
      <w:jc w:val="center"/>
    </w:pPr>
    <w:rPr>
      <w:b/>
    </w:rPr>
  </w:style>
  <w:style w:type="character" w:customStyle="1" w:styleId="37">
    <w:name w:val="fontstyle21"/>
    <w:basedOn w:val="20"/>
    <w:qFormat/>
    <w:uiPriority w:val="0"/>
    <w:rPr>
      <w:rFonts w:hint="eastAsia" w:ascii="TimesNewRomanPSMT" w:eastAsia="TimesNewRomanPSMT"/>
      <w:color w:val="000000"/>
      <w:sz w:val="24"/>
      <w:szCs w:val="24"/>
    </w:rPr>
  </w:style>
  <w:style w:type="character" w:customStyle="1" w:styleId="38">
    <w:name w:val="高-表头 Char"/>
    <w:link w:val="39"/>
    <w:qFormat/>
    <w:uiPriority w:val="0"/>
    <w:rPr>
      <w:b/>
      <w:sz w:val="21"/>
    </w:rPr>
  </w:style>
  <w:style w:type="paragraph" w:customStyle="1" w:styleId="39">
    <w:name w:val="高-表头"/>
    <w:basedOn w:val="1"/>
    <w:link w:val="38"/>
    <w:qFormat/>
    <w:uiPriority w:val="0"/>
    <w:pPr>
      <w:jc w:val="center"/>
    </w:pPr>
    <w:rPr>
      <w:b/>
      <w:kern w:val="0"/>
      <w:szCs w:val="20"/>
    </w:rPr>
  </w:style>
  <w:style w:type="character" w:customStyle="1" w:styleId="40">
    <w:name w:val="表格 Char"/>
    <w:link w:val="41"/>
    <w:qFormat/>
    <w:locked/>
    <w:uiPriority w:val="0"/>
    <w:rPr>
      <w:rFonts w:ascii="宋体"/>
      <w:sz w:val="21"/>
    </w:rPr>
  </w:style>
  <w:style w:type="paragraph" w:customStyle="1" w:styleId="41">
    <w:name w:val="表格"/>
    <w:basedOn w:val="1"/>
    <w:next w:val="1"/>
    <w:link w:val="40"/>
    <w:qFormat/>
    <w:uiPriority w:val="0"/>
    <w:pPr>
      <w:adjustRightInd w:val="0"/>
      <w:snapToGrid w:val="0"/>
      <w:spacing w:beforeLines="10" w:afterLines="10" w:line="259" w:lineRule="auto"/>
      <w:jc w:val="center"/>
    </w:pPr>
    <w:rPr>
      <w:rFonts w:ascii="宋体"/>
      <w:kern w:val="0"/>
      <w:szCs w:val="20"/>
    </w:rPr>
  </w:style>
  <w:style w:type="character" w:customStyle="1" w:styleId="42">
    <w:name w:val="批注主题 Char"/>
    <w:link w:val="15"/>
    <w:semiHidden/>
    <w:qFormat/>
    <w:locked/>
    <w:uiPriority w:val="0"/>
    <w:rPr>
      <w:rFonts w:ascii="Times New Roman" w:hAnsi="Times New Roman" w:eastAsia="宋体"/>
      <w:b/>
      <w:kern w:val="2"/>
      <w:sz w:val="24"/>
    </w:rPr>
  </w:style>
  <w:style w:type="character" w:customStyle="1" w:styleId="43">
    <w:name w:val="正文首行缩进 2 Char"/>
    <w:basedOn w:val="44"/>
    <w:link w:val="17"/>
    <w:qFormat/>
    <w:uiPriority w:val="0"/>
    <w:rPr>
      <w:kern w:val="2"/>
      <w:sz w:val="21"/>
      <w:szCs w:val="24"/>
    </w:rPr>
  </w:style>
  <w:style w:type="character" w:customStyle="1" w:styleId="44">
    <w:name w:val="正文文本缩进 Char"/>
    <w:link w:val="8"/>
    <w:semiHidden/>
    <w:qFormat/>
    <w:locked/>
    <w:uiPriority w:val="0"/>
    <w:rPr>
      <w:rFonts w:ascii="Times New Roman" w:hAnsi="Times New Roman" w:eastAsia="宋体"/>
      <w:sz w:val="24"/>
    </w:rPr>
  </w:style>
  <w:style w:type="character" w:customStyle="1" w:styleId="45">
    <w:name w:val="普通(网站) Char"/>
    <w:link w:val="14"/>
    <w:qFormat/>
    <w:locked/>
    <w:uiPriority w:val="0"/>
    <w:rPr>
      <w:rFonts w:ascii="宋体" w:hAnsi="宋体" w:eastAsia="宋体"/>
      <w:sz w:val="24"/>
    </w:rPr>
  </w:style>
  <w:style w:type="character" w:customStyle="1" w:styleId="46">
    <w:name w:val="fontstyle11"/>
    <w:basedOn w:val="20"/>
    <w:qFormat/>
    <w:uiPriority w:val="0"/>
    <w:rPr>
      <w:rFonts w:hint="default" w:ascii="Times New Roman" w:hAnsi="Times New Roman" w:cs="Times New Roman"/>
      <w:color w:val="000000"/>
      <w:sz w:val="24"/>
      <w:szCs w:val="24"/>
    </w:rPr>
  </w:style>
  <w:style w:type="character" w:customStyle="1" w:styleId="47">
    <w:name w:val="fontstyle01"/>
    <w:basedOn w:val="20"/>
    <w:qFormat/>
    <w:uiPriority w:val="0"/>
    <w:rPr>
      <w:rFonts w:hint="eastAsia" w:ascii="宋体" w:hAnsi="宋体" w:eastAsia="宋体"/>
      <w:color w:val="000000"/>
      <w:sz w:val="24"/>
      <w:szCs w:val="24"/>
    </w:rPr>
  </w:style>
  <w:style w:type="character" w:customStyle="1" w:styleId="48">
    <w:name w:val="页脚 字符"/>
    <w:basedOn w:val="20"/>
    <w:qFormat/>
    <w:uiPriority w:val="99"/>
  </w:style>
  <w:style w:type="character" w:customStyle="1" w:styleId="49">
    <w:name w:val="批注框文本 Char"/>
    <w:link w:val="11"/>
    <w:semiHidden/>
    <w:qFormat/>
    <w:locked/>
    <w:uiPriority w:val="0"/>
    <w:rPr>
      <w:rFonts w:ascii="Times New Roman" w:hAnsi="Times New Roman" w:eastAsia="宋体"/>
      <w:sz w:val="18"/>
    </w:rPr>
  </w:style>
  <w:style w:type="character" w:customStyle="1" w:styleId="50">
    <w:name w:val="页脚 Char"/>
    <w:link w:val="12"/>
    <w:qFormat/>
    <w:locked/>
    <w:uiPriority w:val="99"/>
    <w:rPr>
      <w:sz w:val="18"/>
    </w:rPr>
  </w:style>
  <w:style w:type="character" w:customStyle="1" w:styleId="51">
    <w:name w:val="页眉 Char"/>
    <w:link w:val="13"/>
    <w:qFormat/>
    <w:locked/>
    <w:uiPriority w:val="0"/>
    <w:rPr>
      <w:sz w:val="18"/>
    </w:rPr>
  </w:style>
  <w:style w:type="character" w:customStyle="1" w:styleId="52">
    <w:name w:val="正文文本 Char"/>
    <w:link w:val="6"/>
    <w:qFormat/>
    <w:locked/>
    <w:uiPriority w:val="0"/>
    <w:rPr>
      <w:sz w:val="18"/>
    </w:rPr>
  </w:style>
  <w:style w:type="character" w:customStyle="1" w:styleId="53">
    <w:name w:val="正文缩进 Char"/>
    <w:link w:val="4"/>
    <w:qFormat/>
    <w:uiPriority w:val="0"/>
    <w:rPr>
      <w:rFonts w:ascii="Calibri" w:hAnsi="Calibri"/>
      <w:sz w:val="28"/>
    </w:rPr>
  </w:style>
  <w:style w:type="character" w:customStyle="1" w:styleId="54">
    <w:name w:val="批注文字 字符1"/>
    <w:semiHidden/>
    <w:qFormat/>
    <w:uiPriority w:val="0"/>
    <w:rPr>
      <w:rFonts w:ascii="Times New Roman" w:hAnsi="Times New Roman" w:eastAsia="宋体"/>
      <w:sz w:val="24"/>
    </w:rPr>
  </w:style>
  <w:style w:type="paragraph" w:customStyle="1" w:styleId="55">
    <w:name w:val="1"/>
    <w:basedOn w:val="1"/>
    <w:next w:val="8"/>
    <w:qFormat/>
    <w:uiPriority w:val="0"/>
    <w:pPr>
      <w:spacing w:line="360" w:lineRule="auto"/>
      <w:ind w:firstLine="480" w:firstLineChars="200"/>
    </w:pPr>
    <w:rPr>
      <w:rFonts w:ascii="仿宋_GB2312" w:eastAsia="仿宋_GB2312"/>
      <w:sz w:val="24"/>
      <w:szCs w:val="20"/>
    </w:rPr>
  </w:style>
  <w:style w:type="paragraph" w:customStyle="1" w:styleId="56">
    <w:name w:val="编号-高"/>
    <w:basedOn w:val="31"/>
    <w:qFormat/>
    <w:uiPriority w:val="0"/>
    <w:pPr>
      <w:ind w:firstLine="832" w:firstLineChars="160"/>
    </w:pPr>
  </w:style>
  <w:style w:type="paragraph" w:customStyle="1" w:styleId="57">
    <w:name w:val="表格—高"/>
    <w:basedOn w:val="1"/>
    <w:qFormat/>
    <w:uiPriority w:val="0"/>
    <w:pPr>
      <w:adjustRightInd w:val="0"/>
      <w:snapToGrid w:val="0"/>
      <w:spacing w:line="340" w:lineRule="exact"/>
      <w:jc w:val="center"/>
    </w:pPr>
  </w:style>
  <w:style w:type="paragraph" w:customStyle="1" w:styleId="58">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9">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0">
    <w:name w:val="高-表格"/>
    <w:basedOn w:val="1"/>
    <w:qFormat/>
    <w:uiPriority w:val="0"/>
    <w:pPr>
      <w:spacing w:line="360" w:lineRule="exact"/>
      <w:jc w:val="center"/>
    </w:pPr>
  </w:style>
  <w:style w:type="character" w:customStyle="1" w:styleId="61">
    <w:name w:val="fontstyle31"/>
    <w:basedOn w:val="20"/>
    <w:qFormat/>
    <w:uiPriority w:val="0"/>
    <w:rPr>
      <w:rFonts w:hint="default" w:ascii="Times New Roman" w:hAnsi="Times New Roman" w:cs="Times New Roman"/>
      <w:b/>
      <w:bCs/>
      <w:color w:val="000000"/>
      <w:sz w:val="14"/>
      <w:szCs w:val="14"/>
    </w:rPr>
  </w:style>
  <w:style w:type="paragraph" w:customStyle="1" w:styleId="62">
    <w:name w:val="HP表格内容"/>
    <w:qFormat/>
    <w:uiPriority w:val="0"/>
    <w:pPr>
      <w:jc w:val="center"/>
    </w:pPr>
    <w:rPr>
      <w:rFonts w:ascii="Times New Roman" w:hAnsi="Times New Roman" w:eastAsia="宋体" w:cs="Times New Roman"/>
      <w:sz w:val="24"/>
      <w:szCs w:val="24"/>
      <w:lang w:val="en-US" w:eastAsia="zh-CN" w:bidi="ar-SA"/>
    </w:rPr>
  </w:style>
  <w:style w:type="character" w:customStyle="1" w:styleId="63">
    <w:name w:val="表头 Char1"/>
    <w:link w:val="64"/>
    <w:qFormat/>
    <w:uiPriority w:val="0"/>
    <w:rPr>
      <w:rFonts w:eastAsia="仿宋_GB2312"/>
      <w:b/>
      <w:sz w:val="28"/>
      <w:szCs w:val="28"/>
    </w:rPr>
  </w:style>
  <w:style w:type="paragraph" w:customStyle="1" w:styleId="64">
    <w:name w:val="表头"/>
    <w:basedOn w:val="1"/>
    <w:link w:val="63"/>
    <w:qFormat/>
    <w:uiPriority w:val="0"/>
    <w:pPr>
      <w:adjustRightInd w:val="0"/>
      <w:snapToGrid w:val="0"/>
      <w:spacing w:beforeLines="25"/>
      <w:jc w:val="center"/>
      <w:textAlignment w:val="baseline"/>
    </w:pPr>
    <w:rPr>
      <w:rFonts w:eastAsia="仿宋_GB2312"/>
      <w:b/>
      <w:kern w:val="0"/>
      <w:sz w:val="28"/>
      <w:szCs w:val="28"/>
    </w:rPr>
  </w:style>
  <w:style w:type="character" w:customStyle="1" w:styleId="65">
    <w:name w:val="datetime25"/>
    <w:basedOn w:val="20"/>
    <w:qFormat/>
    <w:uiPriority w:val="0"/>
  </w:style>
  <w:style w:type="character" w:customStyle="1" w:styleId="66">
    <w:name w:val="font31"/>
    <w:qFormat/>
    <w:uiPriority w:val="0"/>
    <w:rPr>
      <w:rFonts w:hint="default" w:ascii="Times New Roman" w:hAnsi="Times New Roman" w:cs="Times New Roman"/>
      <w:color w:val="0000FF"/>
      <w:sz w:val="21"/>
      <w:szCs w:val="21"/>
      <w:u w:val="none"/>
      <w:vertAlign w:val="subscript"/>
    </w:rPr>
  </w:style>
  <w:style w:type="character" w:customStyle="1" w:styleId="67">
    <w:name w:val="font01"/>
    <w:qFormat/>
    <w:uiPriority w:val="0"/>
    <w:rPr>
      <w:rFonts w:hint="default" w:ascii="Times New Roman" w:hAnsi="Times New Roman" w:cs="Times New Roman"/>
      <w:color w:val="0000FF"/>
      <w:sz w:val="21"/>
      <w:szCs w:val="21"/>
      <w:u w:val="none"/>
    </w:rPr>
  </w:style>
  <w:style w:type="character" w:customStyle="1" w:styleId="68">
    <w:name w:val="书籍标题1"/>
    <w:basedOn w:val="20"/>
    <w:qFormat/>
    <w:uiPriority w:val="33"/>
    <w:rPr>
      <w:b/>
      <w:bCs/>
      <w:smallCaps/>
      <w:spacing w:val="5"/>
    </w:rPr>
  </w:style>
  <w:style w:type="character" w:customStyle="1" w:styleId="69">
    <w:name w:val="表号 Char Char Char Char"/>
    <w:link w:val="70"/>
    <w:qFormat/>
    <w:uiPriority w:val="0"/>
    <w:rPr>
      <w:rFonts w:cs="宋体"/>
      <w:kern w:val="2"/>
      <w:sz w:val="24"/>
      <w:szCs w:val="24"/>
      <w:lang w:val="en-US" w:eastAsia="zh-CN" w:bidi="ar-SA"/>
    </w:rPr>
  </w:style>
  <w:style w:type="paragraph" w:customStyle="1" w:styleId="70">
    <w:name w:val="表号 Char Char Char"/>
    <w:link w:val="69"/>
    <w:qFormat/>
    <w:uiPriority w:val="0"/>
    <w:pPr>
      <w:adjustRightInd w:val="0"/>
      <w:snapToGrid w:val="0"/>
      <w:spacing w:line="240" w:lineRule="exact"/>
      <w:jc w:val="both"/>
      <w:outlineLvl w:val="4"/>
    </w:pPr>
    <w:rPr>
      <w:rFonts w:ascii="Times New Roman" w:hAnsi="Times New Roman" w:eastAsia="宋体" w:cs="宋体"/>
      <w:kern w:val="2"/>
      <w:sz w:val="24"/>
      <w:szCs w:val="24"/>
      <w:lang w:val="en-US" w:eastAsia="zh-CN" w:bidi="ar-SA"/>
    </w:rPr>
  </w:style>
  <w:style w:type="character" w:customStyle="1" w:styleId="71">
    <w:name w:val="ae正文zzzzzzzz Char"/>
    <w:link w:val="72"/>
    <w:qFormat/>
    <w:uiPriority w:val="0"/>
    <w:rPr>
      <w:rFonts w:cs="宋体"/>
      <w:kern w:val="2"/>
      <w:sz w:val="24"/>
    </w:rPr>
  </w:style>
  <w:style w:type="paragraph" w:customStyle="1" w:styleId="72">
    <w:name w:val="ae正文zzzzzzzz"/>
    <w:basedOn w:val="1"/>
    <w:link w:val="71"/>
    <w:qFormat/>
    <w:uiPriority w:val="0"/>
    <w:pPr>
      <w:spacing w:line="520" w:lineRule="exact"/>
      <w:ind w:firstLine="200" w:firstLineChars="200"/>
    </w:pPr>
    <w:rPr>
      <w:sz w:val="24"/>
      <w:szCs w:val="20"/>
    </w:rPr>
  </w:style>
  <w:style w:type="character" w:customStyle="1" w:styleId="73">
    <w:name w:val="中大表格内容 Char"/>
    <w:link w:val="74"/>
    <w:qFormat/>
    <w:uiPriority w:val="0"/>
    <w:rPr>
      <w:rFonts w:ascii="宋体" w:hAnsi="宋体"/>
      <w:sz w:val="21"/>
      <w:szCs w:val="21"/>
      <w:lang w:val="zh-CN"/>
    </w:rPr>
  </w:style>
  <w:style w:type="paragraph" w:customStyle="1" w:styleId="74">
    <w:name w:val="中大表格内容"/>
    <w:basedOn w:val="1"/>
    <w:link w:val="73"/>
    <w:qFormat/>
    <w:uiPriority w:val="0"/>
    <w:pPr>
      <w:wordWrap w:val="0"/>
      <w:autoSpaceDE w:val="0"/>
      <w:autoSpaceDN w:val="0"/>
      <w:adjustRightInd w:val="0"/>
      <w:jc w:val="center"/>
    </w:pPr>
    <w:rPr>
      <w:rFonts w:ascii="宋体" w:hAnsi="宋体"/>
      <w:kern w:val="0"/>
      <w:szCs w:val="21"/>
      <w:lang w:val="zh-CN"/>
    </w:rPr>
  </w:style>
  <w:style w:type="character" w:customStyle="1" w:styleId="75">
    <w:name w:val="datetime68"/>
    <w:qFormat/>
    <w:uiPriority w:val="0"/>
    <w:rPr>
      <w:sz w:val="22"/>
      <w:szCs w:val="22"/>
    </w:rPr>
  </w:style>
  <w:style w:type="character" w:styleId="76">
    <w:name w:val="Placeholder Text"/>
    <w:basedOn w:val="20"/>
    <w:unhideWhenUsed/>
    <w:qFormat/>
    <w:uiPriority w:val="99"/>
    <w:rPr>
      <w:color w:val="808080"/>
    </w:rPr>
  </w:style>
  <w:style w:type="paragraph" w:customStyle="1" w:styleId="77">
    <w:name w:val="样式 样式 标题 3ReHead 3 WSAh3第二层条标题9分节小标题小节标题H3H31H32H33u3...2 + 自动设置"/>
    <w:basedOn w:val="1"/>
    <w:qFormat/>
    <w:uiPriority w:val="0"/>
    <w:pPr>
      <w:keepNext/>
      <w:keepLines/>
      <w:adjustRightInd w:val="0"/>
      <w:snapToGrid w:val="0"/>
      <w:spacing w:line="360" w:lineRule="auto"/>
      <w:outlineLvl w:val="2"/>
    </w:pPr>
    <w:rPr>
      <w:rFonts w:cs="宋体"/>
      <w:b/>
      <w:bCs/>
      <w:sz w:val="28"/>
      <w:szCs w:val="20"/>
    </w:rPr>
  </w:style>
  <w:style w:type="character" w:customStyle="1" w:styleId="78">
    <w:name w:val="标题 Char"/>
    <w:basedOn w:val="20"/>
    <w:link w:val="2"/>
    <w:qFormat/>
    <w:uiPriority w:val="0"/>
    <w:rPr>
      <w:rFonts w:ascii="Cambria" w:hAnsi="Cambria"/>
      <w:b/>
      <w:bCs/>
      <w:kern w:val="2"/>
      <w:sz w:val="32"/>
      <w:szCs w:val="32"/>
    </w:rPr>
  </w:style>
  <w:style w:type="character" w:customStyle="1" w:styleId="79">
    <w:name w:val="尾注文本 Char"/>
    <w:basedOn w:val="20"/>
    <w:link w:val="10"/>
    <w:qFormat/>
    <w:uiPriority w:val="0"/>
    <w:rPr>
      <w:kern w:val="2"/>
      <w:sz w:val="21"/>
      <w:szCs w:val="24"/>
    </w:rPr>
  </w:style>
  <w:style w:type="paragraph" w:customStyle="1" w:styleId="80">
    <w:name w:val="a正文"/>
    <w:basedOn w:val="1"/>
    <w:qFormat/>
    <w:uiPriority w:val="0"/>
    <w:pPr>
      <w:adjustRightInd w:val="0"/>
      <w:snapToGrid w:val="0"/>
      <w:spacing w:line="360" w:lineRule="auto"/>
      <w:ind w:firstLine="200" w:firstLineChars="200"/>
    </w:pPr>
    <w:rPr>
      <w:kern w:val="0"/>
      <w:sz w:val="24"/>
    </w:rPr>
  </w:style>
  <w:style w:type="character" w:customStyle="1" w:styleId="81">
    <w:name w:val="正文首行缩进 Char"/>
    <w:basedOn w:val="52"/>
    <w:link w:val="16"/>
    <w:qFormat/>
    <w:uiPriority w:val="0"/>
    <w:rPr>
      <w:kern w:val="2"/>
      <w:sz w:val="21"/>
      <w:szCs w:val="24"/>
    </w:rPr>
  </w:style>
  <w:style w:type="character" w:customStyle="1" w:styleId="82">
    <w:name w:val="fontstyle41"/>
    <w:basedOn w:val="20"/>
    <w:qFormat/>
    <w:uiPriority w:val="0"/>
    <w:rPr>
      <w:rFonts w:hint="eastAsia" w:ascii="新宋体" w:hAnsi="新宋体" w:eastAsia="新宋体"/>
      <w:color w:val="000000"/>
      <w:sz w:val="22"/>
      <w:szCs w:val="22"/>
    </w:rPr>
  </w:style>
  <w:style w:type="paragraph" w:customStyle="1" w:styleId="83">
    <w:name w:val="表"/>
    <w:basedOn w:val="1"/>
    <w:qFormat/>
    <w:uiPriority w:val="0"/>
    <w:pPr>
      <w:snapToGrid w:val="0"/>
      <w:jc w:val="center"/>
    </w:pPr>
    <w:rPr>
      <w:spacing w:val="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microsoft.com/office/2011/relationships/commentsExtended" Target="commentsExtended.xml"/><Relationship Id="rId31" Type="http://schemas.microsoft.com/office/2011/relationships/people" Target="people.xml"/><Relationship Id="rId30" Type="http://schemas.openxmlformats.org/officeDocument/2006/relationships/fontTable" Target="fontTable.xml"/><Relationship Id="rId3" Type="http://schemas.openxmlformats.org/officeDocument/2006/relationships/comments" Target="comments.xml"/><Relationship Id="rId29" Type="http://schemas.openxmlformats.org/officeDocument/2006/relationships/customXml" Target="../customXml/item2.xml"/><Relationship Id="rId28" Type="http://schemas.openxmlformats.org/officeDocument/2006/relationships/customXml" Target="../customXml/item1.xml"/><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emf"/><Relationship Id="rId11" Type="http://schemas.openxmlformats.org/officeDocument/2006/relationships/image" Target="media/image1.emf"/><Relationship Id="rId10" Type="http://schemas.openxmlformats.org/officeDocument/2006/relationships/theme" Target="theme/theme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EB3E05-7FE1-4435-BB5C-C82983287196}">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52</Pages>
  <Words>18733</Words>
  <Characters>21569</Characters>
  <Lines>174</Lines>
  <Paragraphs>49</Paragraphs>
  <TotalTime>3</TotalTime>
  <ScaleCrop>false</ScaleCrop>
  <LinksUpToDate>false</LinksUpToDate>
  <CharactersWithSpaces>21803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2023-03-02T08:07:00Z</dcterms:created>
  <dc:creator>lhj</dc:creator>
  <cp:lastModifiedBy>高工-环保</cp:lastModifiedBy>
  <cp:lastPrinted>2022-06-13T01:58:00Z</cp:lastPrinted>
  <dcterms:modified xsi:type="dcterms:W3CDTF">2023-03-08T07:09:15Z</dcterms:modified>
  <dc:title>附件2</dc:title>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F72921CEDD3F4FB4B8BC2DE125673073</vt:lpwstr>
  </property>
</Properties>
</file>