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8FAFC"/>
        </w:rPr>
        <w:t>关于县政府领导班子AB岗设置的通知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各乡镇人民政府，县直各部门、驻县各单位：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因人事变动，经研究决定，对县政府领导班子AB岗设置调整如下：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王勇同志与孙志刚同志互为AB岗；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孙志刚同志与李震同志互为AB岗；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孟克朝鲁同志与邵永斌同志互为AB岗；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李东同志与孙美英同志互为AB岗。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县政府领导同志、联系服务领导的办公室各副主任以及各乡镇、各部门要按照《五原县人民政府办公室关于健全完善县政府领导班子AB岗工作负责制度的通知》（五政办发〔2016〕98号）的要求，严格落实AB岗工作负责制度，做好具体事务的协调、处理工作，提高工作效能，形成团结协作、互相补台、衔接顺畅的工作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225" w:beforeAutospacing="0" w:after="225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8FAFC"/>
        </w:rPr>
        <w:t>2022年5月23日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4DA042BC"/>
    <w:rsid w:val="54346864"/>
    <w:rsid w:val="667063E5"/>
    <w:rsid w:val="75C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2023-01-29T09:24:39Z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