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关于《五原县待批项目大起底工作方案》的解读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bdr w:val="none" w:color="auto" w:sz="0" w:space="0"/>
        </w:rPr>
        <w:t>一、文件出台背景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以习近平新时代中国特色社会主义思想为指导，全面贯彻落实党中央、国务院关于深化“放管服”改革、优化营商环境的决策部署及自治区、巴彦淖尔市党委和政府工作要求，按照县委、政府统一安排，以高度的责任感和使命感，全面起底待批项目，建立健全工作台账，不断优化审批流程，不断提升办理效率，全面接受社会监督，切实把办事有规矩、不拖拉的形象立起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  <w:bdr w:val="none" w:color="auto" w:sz="0" w:space="0"/>
        </w:rPr>
        <w:t>二、工作目地和意义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color w:val="323232"/>
          <w:spacing w:val="0"/>
          <w:sz w:val="30"/>
          <w:szCs w:val="30"/>
          <w:shd w:val="clear" w:fill="FFFFFF"/>
        </w:rPr>
        <w:t>（一）目的：</w:t>
      </w:r>
      <w:r>
        <w:rPr>
          <w:rFonts w:hint="eastAsia" w:ascii="微软雅黑" w:hAnsi="微软雅黑" w:eastAsia="微软雅黑" w:cs="微软雅黑"/>
          <w:sz w:val="30"/>
          <w:szCs w:val="30"/>
        </w:rPr>
        <w:t>按照自治区统一部署，本次待批项目大起底行动从2022年7月开始，至2022年12月底结束，实现符合条件的待批项目全部审批，不合规的待批项目从自治区投资项目在线审批平台移除，并同步开展“回头看”工作。县级审批部门通过开展大起底行动，总结经验，完善制度，建立高效长效审批机制，全面接受社会监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color w:val="323232"/>
          <w:spacing w:val="0"/>
          <w:sz w:val="30"/>
          <w:szCs w:val="30"/>
          <w:shd w:val="clear" w:fill="FFFFFF"/>
        </w:rPr>
        <w:t>（二）意义：</w:t>
      </w:r>
      <w:r>
        <w:rPr>
          <w:rFonts w:hint="eastAsia" w:ascii="微软雅黑" w:hAnsi="微软雅黑" w:eastAsia="微软雅黑" w:cs="微软雅黑"/>
          <w:color w:val="323232"/>
          <w:spacing w:val="0"/>
          <w:sz w:val="30"/>
          <w:szCs w:val="30"/>
          <w:shd w:val="clear" w:fill="FFFFFF"/>
        </w:rPr>
        <w:t>全面起底待批项目，对超期未审批项目立行立改。变坐等审批为主动服务，推动县本级审批部门优化流程，缩短时限，全面实现在线审批，全过程跟踪监督审批工作，接受社会监督，做到办事有规矩、不拖拉。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720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23232"/>
          <w:spacing w:val="0"/>
          <w:sz w:val="30"/>
          <w:szCs w:val="30"/>
          <w:shd w:val="clear" w:fill="FFFFFF"/>
        </w:rPr>
        <w:t>三、起底范围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23232"/>
          <w:spacing w:val="0"/>
          <w:sz w:val="30"/>
          <w:szCs w:val="30"/>
          <w:shd w:val="clear" w:fill="FFFFFF"/>
        </w:rPr>
        <w:t>（一）重点梳理2016年至今立项的2180个项目，全面</w:t>
      </w:r>
      <w:r>
        <w:rPr>
          <w:rFonts w:hint="eastAsia" w:ascii="微软雅黑" w:hAnsi="微软雅黑" w:eastAsia="微软雅黑" w:cs="微软雅黑"/>
          <w:sz w:val="30"/>
          <w:szCs w:val="30"/>
        </w:rPr>
        <w:t>梳理未开工项目待批事项，在建项目手续不全的一并起底。其余年度如有待批事项，各审批部门比照此方案要求办理。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（二）起底审批事项包括土地预审、能评、环评、取水、水土保持、林地征占、草地征占、施工许可等所有开工前办理的审批事项。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720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四、工作开展措施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（一）全面起底，建立台账。</w:t>
      </w:r>
      <w:r>
        <w:rPr>
          <w:rFonts w:hint="eastAsia" w:ascii="微软雅黑" w:hAnsi="微软雅黑" w:eastAsia="微软雅黑" w:cs="微软雅黑"/>
          <w:sz w:val="30"/>
          <w:szCs w:val="30"/>
        </w:rPr>
        <w:t>全面梳理2016年以来本辖区、本系统审批部门受理的待批项目、超期未审批项目、已立项未开工项目，于2022年8月23日前建立待批项目台账，逐一明确审批部门责任人、审批受理情况、完成时限。台账需经县直审批部门主要领导签字后确定，台账一经确定，审批1个核减1个，不得随意调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（二）分类处置，限时办结。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1.不合规项目移除项目库。</w:t>
      </w:r>
      <w:r>
        <w:rPr>
          <w:rFonts w:hint="eastAsia" w:ascii="微软雅黑" w:hAnsi="微软雅黑" w:eastAsia="微软雅黑" w:cs="微软雅黑"/>
          <w:sz w:val="30"/>
          <w:szCs w:val="30"/>
        </w:rPr>
        <w:t>已立项未开工项目，各部门对照相关产业政策和节约集约要求进行分析研判，按照边梳理建立台账边分类研究处置的原则，加强待审批项目办理进度，提升审批效率。不合规的项目要于2022年9月20日前从自治区投资项目在线审批平台、国家重大建设项目库中移除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2.不符合要求项目及时退回。</w:t>
      </w:r>
      <w:r>
        <w:rPr>
          <w:rFonts w:hint="eastAsia" w:ascii="微软雅黑" w:hAnsi="微软雅黑" w:eastAsia="微软雅黑" w:cs="微软雅黑"/>
          <w:sz w:val="30"/>
          <w:szCs w:val="30"/>
        </w:rPr>
        <w:t>已提交审批申请但不符合审批相关要求的项目，在5个工作日内一次性告知项目单位存在的问题，并根据项目实际提出合理化建议。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3.符合要求项目限时审批。</w:t>
      </w:r>
      <w:r>
        <w:rPr>
          <w:rFonts w:hint="eastAsia" w:ascii="微软雅黑" w:hAnsi="微软雅黑" w:eastAsia="微软雅黑" w:cs="微软雅黑"/>
          <w:sz w:val="30"/>
          <w:szCs w:val="30"/>
        </w:rPr>
        <w:t>对要件齐全、符合要求的项目，按照不同审批事项承诺的时限集中力量高效完成审批，2022年12月31日前，基本完成待批项目审批工作。对审批权限在上级部门的申请，要在受理后7个工作日内转报上级审批部门。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（三）建立高效审批长效机制。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1.建立审批全程记录机制。</w:t>
      </w:r>
      <w:r>
        <w:rPr>
          <w:rFonts w:hint="eastAsia" w:ascii="微软雅黑" w:hAnsi="微软雅黑" w:eastAsia="微软雅黑" w:cs="微软雅黑"/>
          <w:sz w:val="30"/>
          <w:szCs w:val="30"/>
        </w:rPr>
        <w:t>除已有审批系统的部门外，其他部门要全面使用自治区投资项目在线审批平台受理项目审批。投资项目在线审批平台建立项目审批全程记录机制，实现“阳光审批”。项目单位可以随时提交审批申请，审批部门须在5个工作日内完成初审，要件齐全、符合条件的项目按期审批，要件不全、不符合条件的项目一次性反馈意见建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2.建立通报督办机制。</w:t>
      </w:r>
      <w:r>
        <w:rPr>
          <w:rFonts w:hint="eastAsia" w:ascii="微软雅黑" w:hAnsi="微软雅黑" w:eastAsia="微软雅黑" w:cs="微软雅黑"/>
          <w:sz w:val="30"/>
          <w:szCs w:val="30"/>
        </w:rPr>
        <w:t>按月统计超期未审批项目，并抄送相关审批部门派驻纪检组，督促推动审批部门尽快办结。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3.建立审批红绿灯预警机制。</w:t>
      </w:r>
      <w:r>
        <w:rPr>
          <w:rFonts w:hint="eastAsia" w:ascii="微软雅黑" w:hAnsi="微软雅黑" w:eastAsia="微软雅黑" w:cs="微软雅黑"/>
          <w:sz w:val="30"/>
          <w:szCs w:val="30"/>
        </w:rPr>
        <w:t>各在线审批系统建立红绿灯预警机制，对超期未审批项目亮红灯，并同步告知审批部门工作人员。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4.建立主动靠前服务机制。</w:t>
      </w:r>
      <w:r>
        <w:rPr>
          <w:rFonts w:hint="eastAsia" w:ascii="微软雅黑" w:hAnsi="微软雅黑" w:eastAsia="微软雅黑" w:cs="微软雅黑"/>
          <w:sz w:val="30"/>
          <w:szCs w:val="30"/>
        </w:rPr>
        <w:t>实行全流程帮办、代办服务，各部门根据审批事项特点，建立主动服务、靠前指导机制，确保项目单位在推进前期工作时不走弯路，审批部门受理后能高效办结。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Style w:val="5"/>
          <w:rFonts w:hint="eastAsia" w:ascii="微软雅黑" w:hAnsi="微软雅黑" w:eastAsia="微软雅黑" w:cs="微软雅黑"/>
          <w:sz w:val="30"/>
          <w:szCs w:val="30"/>
        </w:rPr>
        <w:t>（四）设立投诉举报热线。</w:t>
      </w:r>
      <w:r>
        <w:rPr>
          <w:rFonts w:hint="eastAsia" w:ascii="微软雅黑" w:hAnsi="微软雅黑" w:eastAsia="微软雅黑" w:cs="微软雅黑"/>
          <w:sz w:val="30"/>
          <w:szCs w:val="30"/>
        </w:rPr>
        <w:t>在12345政务服务便民热线增设项目审批问题受理事项，畅通市场主体、项目单位审批问题反映渠道，重点对审批部门以各种理由阻止项目单位上报、拖延审批等突出问题进行受理。县直各审批部门领办本部门负责的事项，按要求对各部门办理情况进行考核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360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五、时间安排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960"/>
        <w:jc w:val="both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2022年12月31日前基本完成待批项目审批工作。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rFonts w:hint="eastAsia" w:ascii="微软雅黑" w:hAnsi="微软雅黑" w:eastAsia="微软雅黑" w:cs="微软雅黑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2022-11-29T02:11:02Z</dcterms:created>
  <dc:creator>HP</dc:creator>
  <cp:lastModifiedBy>亓远</cp:lastModifiedBy>
  <dcterms:modified xsi:type="dcterms:W3CDTF">2022-11-29T02:11:07Z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