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关于《五原县创建国家食品安全示范城市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实施方案（2022-2024年）》的解读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一、文件出台背景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（一）出台文件原因：</w:t>
      </w:r>
      <w:r>
        <w:rPr>
          <w:rFonts w:hint="eastAsia" w:ascii="仿宋_GB2312" w:hAnsi="仿宋_GB2312" w:eastAsia="仿宋_GB2312" w:cs="仿宋_GB2312"/>
          <w:sz w:val="32"/>
          <w:szCs w:val="40"/>
        </w:rPr>
        <w:t>一是全力提升五原县食品安全治理能力和保障水平。二是全方位推进国家食品安全示范城市创建工作。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（二）出台文件依据：</w:t>
      </w:r>
      <w:r>
        <w:rPr>
          <w:rFonts w:hint="eastAsia" w:ascii="仿宋_GB2312" w:hAnsi="仿宋_GB2312" w:eastAsia="仿宋_GB2312" w:cs="仿宋_GB2312"/>
          <w:sz w:val="32"/>
          <w:szCs w:val="40"/>
        </w:rPr>
        <w:t>《国家食品安全示范城市评价与管理办法》、《国家食品安全示范城市评价细则（2021版）》和《巴彦淖尔市创建国家食品安全示范城市实施方案（2022-2024）》。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二、工作目的和意义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（一）目的：</w:t>
      </w:r>
      <w:r>
        <w:rPr>
          <w:rFonts w:hint="eastAsia" w:ascii="仿宋_GB2312" w:hAnsi="仿宋_GB2312" w:eastAsia="仿宋_GB2312" w:cs="仿宋_GB2312"/>
          <w:sz w:val="32"/>
          <w:szCs w:val="40"/>
        </w:rPr>
        <w:t>对标国家食品安全示范城市创建标准要求，结合我县实际，举全县之力，着力补短板、强弱项、抓重点、攻难点、创亮点，推动全县食品安全形势总体呈稳定向好趋势，食品安全评价性抽检合格率达98%以上，人民群众食品安全满意度达80%以上，创建知晓率达85%以上，力争以高质量高标准顺利通过市、自治区评审验收，如期创建成为国家食品安全示范城市，并同步完成自治区食品安全示范县创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（二）意义：</w:t>
      </w:r>
      <w:r>
        <w:rPr>
          <w:rFonts w:hint="eastAsia" w:ascii="仿宋_GB2312" w:hAnsi="仿宋_GB2312" w:eastAsia="仿宋_GB2312" w:cs="仿宋_GB2312"/>
          <w:sz w:val="32"/>
          <w:szCs w:val="40"/>
        </w:rPr>
        <w:t>以保障公众饮食安全为出发点和落脚点，以解决食品安全突出问题为导向，全方位推动国家食品安全示范城市和自治区食品安全示范县创建工作，全面提升我县食品安全治理能力和治理水平，提高人民群众的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三、工作开展措施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（一）工作举措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是进一步落实党政同责。落实《地方党政领导干部食品安全责任制规定》要求，将食品安全重大部署、重点工作纳入县委和县政府跟踪督办内容，结合巡察工作安排对地方党政领导干部履行食品安全工作职责情况进行检查。对成员单位食品安全工作进行评议考核，将食品安全工作成效作为衡量乡镇党政领导班子和领导干部政绩的重要指标。督促党政领导干部贯彻落实党中央、国务院关于食品安全工作的决策部署，履行食品安全工作职责，对在食品安全工作中敢于作为、勇于担当、履职尽责的，给予表彰奖励；对履职不力的，按照有关规定进行问责。二是不断完善工作机制。加强食品药品安全委员会及其办公室建设，食药安委综合协调作用有效发挥。健全食品药品安全委员会信息通报、形势会商、风险交流等工作机制并有效运行。三是健全法规制度。落实党中央、国务院关于食品安全工作的决策部署，结合我县实际，出台食品安全监管相关规范性文件，不断健全规章制度。四是提升风险监测能力。健全食品安全风险监测结果通报、会商、报告机制并有效运行。食品污染物和有害因素监测网络覆盖全部县级行政区域。食源性疾病监测医疗机构发现其接收的病人属于食源性疾病病例或疑似病例的，应当按规定报告。卫生行政部门接收到或发现与食品安全相关的食源性疾病事件和病例的报告信息，应当及时通报同级食药安办。五是深入实施源头治理。全面推行耕地分类管理，在安全利用类耕地落实品种替代、水肥调控、土壤调理等农艺措施；在严格管控类耕地落实种植结构调整等措施。严禁将城镇生活垃圾、污泥、工业废物直接用作肥料，禁止使用污水灌溉。严禁使用国家明令禁止的农业投入品，严格落实定点经营、实名购买和使用记录等制度。按照要求做好高毒高残留高风险农药淘汰工作。严格执行生猪定点屠宰制度，加强牛羊等其它畜禽的屠宰管理，按法律法规要求出厂入县。不断健全制度机制，对病死动物及畜禽屠宰废弃物实行无害化处理。六是严把粮食质量安全关口。严格执行国家粮食质量标准和食品安全标准，严把粮食收购、储存、销售出库质量安全关。建立超标粮食处置长效机制，对不符合食品安全标准的粮食实施定点收购、分类储存、定向销售、闭环处置，不得作为食用用途销售。按要求开展粮食质量安全检验监测工作，库存粮食质量监测覆盖比例不低于库存数量的25%，库存粮食监测发现问题处置率达到100%。粮食烘干服务设施满足需要。七是严格食品生产经营过程监管。对食品生产经营者全面实行食品安全风险分级动态管理。在日常监督检查全覆盖基础上，对一般风险生产企业按比例实施“双随机”抽查，对高风险企业实施重点检查，对问题线索企业实施飞行检查，督促企业生产经营过程持续合规。持续加大乳制品、肉制品、白酒、食用植物油等大型食品生产企业风险防控力度。实施食品相关产品生产许可告知承诺。对保健食品生产企业实施全覆盖检查，检查问题整改率达到100%。严格落实校园食品安全校长（园长）负责制和学校相关负责人陪餐制。校园食品安全春秋两季开学检查覆盖率达到100%。严格执行关于全面禁止非法野生动物交易、禁止销售长江流域非法捕捞渔获物、反食品浪费等有关规定。八是强化食品抽样检验。按抽检计划要求，均衡推进食品抽检任务（每月完成5%），监督抽检计划完成率达到100%。抽检不合格食品核查处置完成率达到100%。食品安全各环节各业态监督抽检覆盖率达到100%，在产食品生产企业的监督抽检（含自治区级）覆盖率达到100%。依法依规向社会公开监督抽检结果及不合格食品核查处置情况。九是加大执法办案力度，落实最严厉的惩罚。有力推进民生领域案件查办“铁拳”行动。食品安全违法案件立案率和办结率达到100%，无程序违法等严重问题导致行政复议、行政诉讼败诉的食品安全违法案件。行政执法与刑事司法衔接机制有效运行，涉案物品检验与认定、信息通报、线索核查和处置等工作落实到位。严厉打击食品走私等违法犯罪行为。严格落实“处罚到人”的要求，依法对违法企业及其直接负责的主管人员和其他直接责任人员进行严厉处罚，实行食品行业从业禁止、终身禁业，对再犯从严从重处罚。十是突出问题导向，开展集中整治。对网络餐饮安全，农村假冒伪劣食品，非法添加，农兽药残留超标，保健食品行业违法生产经营和营销、欺诈误导消费，未成年人食品安全监管等群众关注的突出问题开展集中整治，并取得显著成效。十一是推动社会共治。引导行业协会建立健全行规行约，发挥行业自律作用。引导各方社会力量参与食品安全工作，开展社会监督、科普宣传、志愿服务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（二）创建时间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2022年-20</w:t>
      </w:r>
      <w:bookmarkStart w:id="0" w:name="_GoBack"/>
      <w:bookmarkEnd w:id="0"/>
      <w:r>
        <w:rPr>
          <w:rFonts w:hint="eastAsia" w:ascii="仿宋_GB2312" w:hAnsi="仿宋_GB2312" w:eastAsia="仿宋_GB2312" w:cs="仿宋_GB2312"/>
          <w:sz w:val="32"/>
          <w:szCs w:val="40"/>
        </w:rPr>
        <w:t>24年，为期三年。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8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2022-10-21T01:33:44Z</dcterms:created>
  <dc:creator>HP</dc:creator>
  <cp:lastModifiedBy>亓远</cp:lastModifiedBy>
  <dcterms:modified xsi:type="dcterms:W3CDTF">2022-10-21T01:46:26Z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