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566" w:lineRule="atLeast"/>
        <w:ind w:firstLine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年县本级政府</w:t>
      </w:r>
      <w:r>
        <w:rPr>
          <w:rFonts w:asciiTheme="majorEastAsia" w:hAnsiTheme="majorEastAsia" w:eastAsiaTheme="majorEastAsia"/>
          <w:b/>
          <w:sz w:val="44"/>
          <w:szCs w:val="44"/>
        </w:rPr>
        <w:t>性基金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收支</w:t>
      </w:r>
    </w:p>
    <w:p>
      <w:pPr>
        <w:widowControl w:val="0"/>
        <w:snapToGrid w:val="0"/>
        <w:spacing w:line="566" w:lineRule="atLeast"/>
        <w:ind w:firstLine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预算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编制说明</w:t>
      </w:r>
    </w:p>
    <w:p>
      <w:pPr>
        <w:widowControl w:val="0"/>
        <w:snapToGrid w:val="0"/>
        <w:spacing w:line="566" w:lineRule="atLeast"/>
        <w:ind w:firstLine="623"/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政府性基金预算编制遵循“以收定支，专款专用、收支平衡、细化编制”的原则。基金收入预算根据经济形势变化，结合实际，分析增减变动因素，合理预测。基金支出预算按政府性基金使用范围和规定的用途，安排相应支出事项，专款专用。</w:t>
      </w:r>
    </w:p>
    <w:p>
      <w:pPr>
        <w:widowControl w:val="0"/>
        <w:snapToGrid w:val="0"/>
        <w:spacing w:line="566" w:lineRule="atLeast"/>
        <w:ind w:firstLine="62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5658万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(其中上级专项转移支付23万元)，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国有土地使用权出让收入、污水处理费收入、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城市建设配套费收入、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彩票公益金补助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widowControl w:val="0"/>
        <w:snapToGrid w:val="0"/>
        <w:spacing w:line="566" w:lineRule="atLeast"/>
        <w:ind w:firstLine="623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依据现行政府性基金政策规定，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年政府性基金预算支出相应安排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5658万</w:t>
      </w:r>
      <w:r>
        <w:rPr>
          <w:rFonts w:hint="eastAsia" w:ascii="仿宋_GB2312" w:hAnsi="仿宋" w:eastAsia="仿宋_GB2312"/>
          <w:sz w:val="32"/>
          <w:szCs w:val="32"/>
        </w:rPr>
        <w:t>元。主要用于征地和拆迁补偿支出、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城市公共设施支出、代征手续费、</w:t>
      </w:r>
      <w:r>
        <w:rPr>
          <w:rFonts w:hint="eastAsia" w:ascii="仿宋_GB2312" w:hAnsi="仿宋" w:eastAsia="仿宋_GB2312"/>
          <w:sz w:val="32"/>
          <w:szCs w:val="32"/>
        </w:rPr>
        <w:t>污水处理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费安排的支出、专项债券还本付息的支出。</w:t>
      </w:r>
      <w:bookmarkStart w:id="0" w:name="_GoBack"/>
      <w:bookmarkEnd w:id="0"/>
    </w:p>
    <w:p>
      <w:pPr>
        <w:snapToGrid w:val="0"/>
        <w:spacing w:line="540" w:lineRule="exact"/>
        <w:ind w:firstLine="420" w:firstLineChars="200"/>
        <w:rPr>
          <w:rFonts w:hAnsi="仿宋_GB2312" w:cs="仿宋_GB2312"/>
        </w:rPr>
      </w:pPr>
      <w:r>
        <w:rPr>
          <w:rFonts w:hint="eastAsia" w:ascii="仿宋_GB2312" w:eastAsia="仿宋_GB2312"/>
        </w:rPr>
        <w:t xml:space="preserve">  </w:t>
      </w:r>
    </w:p>
    <w:p>
      <w:pPr>
        <w:rPr>
          <w:rFonts w:ascii="仿宋_GB2312" w:eastAsia="仿宋_GB231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3CE"/>
    <w:rsid w:val="00106337"/>
    <w:rsid w:val="00144E27"/>
    <w:rsid w:val="001C4489"/>
    <w:rsid w:val="002A16E6"/>
    <w:rsid w:val="003513CE"/>
    <w:rsid w:val="003928D9"/>
    <w:rsid w:val="003E1C34"/>
    <w:rsid w:val="003F3324"/>
    <w:rsid w:val="004074AB"/>
    <w:rsid w:val="004741E5"/>
    <w:rsid w:val="00485D16"/>
    <w:rsid w:val="004D18B4"/>
    <w:rsid w:val="00536BEF"/>
    <w:rsid w:val="005373BD"/>
    <w:rsid w:val="00611E8B"/>
    <w:rsid w:val="00640ED7"/>
    <w:rsid w:val="00641D4D"/>
    <w:rsid w:val="006A7922"/>
    <w:rsid w:val="008155CA"/>
    <w:rsid w:val="008572C5"/>
    <w:rsid w:val="008A7E0B"/>
    <w:rsid w:val="008B32FB"/>
    <w:rsid w:val="0096341F"/>
    <w:rsid w:val="009A27D6"/>
    <w:rsid w:val="009B1603"/>
    <w:rsid w:val="009C28F9"/>
    <w:rsid w:val="009F29FA"/>
    <w:rsid w:val="00A37CED"/>
    <w:rsid w:val="00A431D6"/>
    <w:rsid w:val="00B83E57"/>
    <w:rsid w:val="00B976A9"/>
    <w:rsid w:val="00C0206E"/>
    <w:rsid w:val="00D202E1"/>
    <w:rsid w:val="00DC11F7"/>
    <w:rsid w:val="00E052D3"/>
    <w:rsid w:val="00EB3C55"/>
    <w:rsid w:val="00EE54FE"/>
    <w:rsid w:val="00F0183E"/>
    <w:rsid w:val="17E52CB8"/>
    <w:rsid w:val="231456EE"/>
    <w:rsid w:val="44F20492"/>
    <w:rsid w:val="55222E7B"/>
    <w:rsid w:val="6C680262"/>
    <w:rsid w:val="77E44042"/>
    <w:rsid w:val="7D400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color w:val="000000"/>
      <w:kern w:val="0"/>
      <w:sz w:val="18"/>
      <w:szCs w:val="18"/>
      <w:u w:color="000000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color w:val="000000"/>
      <w:kern w:val="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</Words>
  <Characters>302</Characters>
  <Lines>2</Lines>
  <Paragraphs>1</Paragraphs>
  <TotalTime>2</TotalTime>
  <ScaleCrop>false</ScaleCrop>
  <LinksUpToDate>false</LinksUpToDate>
  <CharactersWithSpaces>353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2017-02-27T01:47:00Z</dcterms:created>
  <dc:creator>User</dc:creator>
  <cp:lastModifiedBy>预算股</cp:lastModifiedBy>
  <dcterms:modified xsi:type="dcterms:W3CDTF">2022-01-18T07:32:36Z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